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6"/>
        <w:tblW w:w="5000" w:type="pct"/>
        <w:tblLayout w:type="fixed"/>
        <w:tblCellMar>
          <w:left w:w="57" w:type="dxa"/>
          <w:right w:w="57" w:type="dxa"/>
        </w:tblCellMar>
        <w:tblLook w:val="04A0" w:firstRow="1" w:lastRow="0" w:firstColumn="1" w:lastColumn="0" w:noHBand="0" w:noVBand="1"/>
      </w:tblPr>
      <w:tblGrid>
        <w:gridCol w:w="1978"/>
        <w:gridCol w:w="6318"/>
      </w:tblGrid>
      <w:tr w:rsidR="00815AD5" w:rsidRPr="00815AD5" w14:paraId="2B91FFA7" w14:textId="77777777" w:rsidTr="00294AE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92" w:type="pct"/>
            <w:shd w:val="clear" w:color="auto" w:fill="E2EFD9" w:themeFill="accent6" w:themeFillTint="33"/>
            <w:noWrap/>
            <w:vAlign w:val="center"/>
            <w:hideMark/>
          </w:tcPr>
          <w:p w14:paraId="222DD886" w14:textId="77777777" w:rsidR="00815AD5" w:rsidRPr="00815AD5" w:rsidRDefault="00815AD5" w:rsidP="00815AD5">
            <w:pPr>
              <w:spacing w:after="160" w:line="259" w:lineRule="auto"/>
            </w:pPr>
            <w:r w:rsidRPr="00815AD5">
              <w:t>Πεδίο</w:t>
            </w:r>
          </w:p>
        </w:tc>
        <w:tc>
          <w:tcPr>
            <w:tcW w:w="3808" w:type="pct"/>
            <w:shd w:val="clear" w:color="auto" w:fill="E2EFD9" w:themeFill="accent6" w:themeFillTint="33"/>
            <w:noWrap/>
            <w:vAlign w:val="center"/>
            <w:hideMark/>
          </w:tcPr>
          <w:p w14:paraId="53D849BF" w14:textId="77777777" w:rsidR="00815AD5" w:rsidRPr="00815AD5" w:rsidRDefault="00815AD5" w:rsidP="00815AD5">
            <w:pPr>
              <w:spacing w:after="160" w:line="259" w:lineRule="auto"/>
              <w:cnfStyle w:val="100000000000" w:firstRow="1" w:lastRow="0" w:firstColumn="0" w:lastColumn="0" w:oddVBand="0" w:evenVBand="0" w:oddHBand="0" w:evenHBand="0" w:firstRowFirstColumn="0" w:firstRowLastColumn="0" w:lastRowFirstColumn="0" w:lastRowLastColumn="0"/>
            </w:pPr>
            <w:proofErr w:type="spellStart"/>
            <w:r w:rsidRPr="00815AD5">
              <w:t>Μεταδεδομένα</w:t>
            </w:r>
            <w:proofErr w:type="spellEnd"/>
            <w:r w:rsidRPr="00815AD5">
              <w:t xml:space="preserve"> δείκτη</w:t>
            </w:r>
          </w:p>
        </w:tc>
      </w:tr>
      <w:tr w:rsidR="00815AD5" w:rsidRPr="00815AD5" w14:paraId="3F1C7696"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tcBorders>
            <w:noWrap/>
            <w:hideMark/>
          </w:tcPr>
          <w:p w14:paraId="1B09664A" w14:textId="77777777" w:rsidR="00815AD5" w:rsidRPr="00815AD5" w:rsidRDefault="00815AD5" w:rsidP="00815AD5">
            <w:pPr>
              <w:spacing w:after="160" w:line="259" w:lineRule="auto"/>
            </w:pPr>
            <w:r w:rsidRPr="00815AD5">
              <w:t>Κωδικός δείκτη</w:t>
            </w:r>
          </w:p>
        </w:tc>
        <w:tc>
          <w:tcPr>
            <w:tcW w:w="3808" w:type="pct"/>
            <w:tcBorders>
              <w:top w:val="single" w:sz="2" w:space="0" w:color="A8D08D" w:themeColor="accent6" w:themeTint="99"/>
              <w:left w:val="nil"/>
              <w:bottom w:val="single" w:sz="2" w:space="0" w:color="A8D08D" w:themeColor="accent6" w:themeTint="99"/>
              <w:right w:val="single" w:sz="2" w:space="0" w:color="A8D08D" w:themeColor="accent6" w:themeTint="99"/>
            </w:tcBorders>
            <w:shd w:val="clear" w:color="auto" w:fill="auto"/>
            <w:noWrap/>
            <w:vAlign w:val="center"/>
            <w:hideMark/>
          </w:tcPr>
          <w:p w14:paraId="52A5D656"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rPr>
                <w:b/>
                <w:bCs/>
              </w:rPr>
            </w:pPr>
            <w:r w:rsidRPr="00815AD5">
              <w:rPr>
                <w:b/>
              </w:rPr>
              <w:t>ΕΕCO18</w:t>
            </w:r>
          </w:p>
        </w:tc>
      </w:tr>
      <w:tr w:rsidR="00815AD5" w:rsidRPr="00815AD5" w14:paraId="7A503ED7"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tcBorders>
            <w:noWrap/>
            <w:hideMark/>
          </w:tcPr>
          <w:p w14:paraId="41FE2E0F" w14:textId="77777777" w:rsidR="00815AD5" w:rsidRPr="00815AD5" w:rsidRDefault="00815AD5" w:rsidP="00815AD5">
            <w:pPr>
              <w:spacing w:after="160" w:line="259" w:lineRule="auto"/>
            </w:pPr>
            <w:r w:rsidRPr="00815AD5">
              <w:t>Ονομασία δείκτη</w:t>
            </w:r>
          </w:p>
        </w:tc>
        <w:tc>
          <w:tcPr>
            <w:tcW w:w="3808" w:type="pct"/>
            <w:tcBorders>
              <w:top w:val="single" w:sz="2" w:space="0" w:color="A8D08D" w:themeColor="accent6" w:themeTint="99"/>
              <w:left w:val="nil"/>
              <w:bottom w:val="single" w:sz="4" w:space="0" w:color="A8D08D" w:themeColor="accent6" w:themeTint="99"/>
              <w:right w:val="single" w:sz="2" w:space="0" w:color="A8D08D" w:themeColor="accent6" w:themeTint="99"/>
            </w:tcBorders>
            <w:shd w:val="clear" w:color="auto" w:fill="auto"/>
            <w:vAlign w:val="center"/>
          </w:tcPr>
          <w:p w14:paraId="4F39DFEC"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rPr>
                <w:b/>
                <w:bCs/>
              </w:rPr>
            </w:pPr>
            <w:r w:rsidRPr="00815AD5">
              <w:rPr>
                <w:b/>
                <w:bCs/>
              </w:rPr>
              <w:t>Αριθμός υποστηριζόμενων δημόσιων διοικήσεων ή δημόσιων υπηρεσιών σε εθνικό, περιφερειακό ή τοπικό επίπεδο</w:t>
            </w:r>
          </w:p>
        </w:tc>
      </w:tr>
      <w:tr w:rsidR="00815AD5" w:rsidRPr="00815AD5" w14:paraId="0640A63F"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tcPr>
          <w:p w14:paraId="7387C3B3" w14:textId="77777777" w:rsidR="00815AD5" w:rsidRPr="00815AD5" w:rsidRDefault="00815AD5" w:rsidP="00815AD5">
            <w:pPr>
              <w:spacing w:after="160" w:line="259" w:lineRule="auto"/>
            </w:pPr>
            <w:r w:rsidRPr="00815AD5">
              <w:t>Ορισμός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3A6BA523"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rPr>
                <w:i/>
                <w:iCs/>
              </w:rPr>
              <w:t xml:space="preserve">Η δημόσια διοίκηση θεωρείται ότι περιλαμβάνει: την εκτελεστική και νομοθετική διοίκηση των κεντρικών, περιφερειακών και τοπικών φορέων· τη διαχείριση και την εποπτεία φορολογικών υποθέσεων (λειτουργία φορολογικών καθεστώτων· είσπραξη τελών/φόρων επί των αγαθών και έρευνα για φορολογικές παραβάσεις· τελωνειακή διοίκηση)· την εκτέλεση του προϋπολογισμού και τη διαχείριση των δημόσιων πόρων και του δημόσιου χρέους (συγκέντρωση και είσπραξη χρηματικών ποσών και έλεγχος της εκταμίευσής τους)· τη διαχείριση της συνολικής πολιτικής έρευνας και ανάπτυξης (της κοινωνίας των πολιτών) και των σχετικών κονδυλίων· τη διοίκηση και τη λειτουργία του συνολικού οικονομικού και κοινωνικού σχεδιασμού και των στατιστικών υπηρεσιών στα διάφορα επίπεδα διακυβέρνησης. </w:t>
            </w:r>
          </w:p>
          <w:p w14:paraId="4EAAF3F9"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 xml:space="preserve">Οι δημόσιες υπηρεσίες αναφέρονται σε κάθε δημόσιο ή ιδιωτικό φορέα ο οποίος παρέχει υπηρεσία στο κοινό. Το ιδιωτικό στοιχείο του παρόντα ορισμού αφορά περιπτώσεις στις οποίες ορισμένες υπηρεσίες ανατίθενται από το κράτος σε μεγάλους ιδιωτικούς ή </w:t>
            </w:r>
            <w:proofErr w:type="spellStart"/>
            <w:r w:rsidRPr="00815AD5">
              <w:t>ημι</w:t>
            </w:r>
            <w:proofErr w:type="spellEnd"/>
            <w:r w:rsidRPr="00815AD5">
              <w:t xml:space="preserve">-ιδιωτικούς </w:t>
            </w:r>
            <w:proofErr w:type="spellStart"/>
            <w:r w:rsidRPr="00815AD5">
              <w:t>παρόχους</w:t>
            </w:r>
            <w:proofErr w:type="spellEnd"/>
            <w:r w:rsidRPr="00815AD5">
              <w:t xml:space="preserve">, δηλαδή ιδιωτικούς φορείς με δημόσια λειτουργία. </w:t>
            </w:r>
          </w:p>
          <w:p w14:paraId="0F5E8382"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p>
          <w:p w14:paraId="37E7C2DB"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 xml:space="preserve">Πηγή: </w:t>
            </w:r>
            <w:proofErr w:type="spellStart"/>
            <w:r w:rsidRPr="00815AD5">
              <w:t>Eurostat</w:t>
            </w:r>
            <w:proofErr w:type="spellEnd"/>
            <w:r w:rsidRPr="00815AD5">
              <w:t xml:space="preserve">, NACE </w:t>
            </w:r>
            <w:proofErr w:type="spellStart"/>
            <w:r w:rsidRPr="00815AD5">
              <w:t>αναθ</w:t>
            </w:r>
            <w:proofErr w:type="spellEnd"/>
            <w:r w:rsidRPr="00815AD5">
              <w:t xml:space="preserve">. 2 — Στατιστική ταξινόμηση των οικονομικών δραστηριοτήτων στην Ευρωπαϊκή Κοινότητα, 2008 (σ. 286) </w:t>
            </w:r>
          </w:p>
          <w:p w14:paraId="512B20FA"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p>
          <w:p w14:paraId="7E9CF35A"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 xml:space="preserve">Η διατύπωση με πλάγιους χαρακτήρες ταυτίζεται με τον ορισμό της </w:t>
            </w:r>
            <w:proofErr w:type="spellStart"/>
            <w:r w:rsidRPr="00815AD5">
              <w:t>Eurostat</w:t>
            </w:r>
            <w:proofErr w:type="spellEnd"/>
            <w:r w:rsidRPr="00815AD5">
              <w:t xml:space="preserve">. </w:t>
            </w:r>
          </w:p>
          <w:p w14:paraId="6630D069"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p>
          <w:p w14:paraId="79B82AC7"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rPr>
                <w:b/>
              </w:rPr>
            </w:pPr>
            <w:r w:rsidRPr="00815AD5">
              <w:rPr>
                <w:b/>
              </w:rPr>
              <w:t xml:space="preserve">Επεξήγηση </w:t>
            </w:r>
            <w:r w:rsidRPr="00815AD5">
              <w:rPr>
                <w:b/>
                <w:lang w:val="en-US"/>
              </w:rPr>
              <w:t>SFC</w:t>
            </w:r>
          </w:p>
          <w:p w14:paraId="294DFDF2"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 xml:space="preserve">Τόσο οι δημόσιες διοικήσεις που καλύπτονται από την κατηγορία NACE 84.11 (Γενικές δραστηριότητες δημόσιας διοίκησης) όσο και οι δημόσιες υπηρεσίες (συμπεριλαμβανομένων εκείνων που καλύπτονται από την κατηγορία NACE 84.12 Κανονισμός των δραστηριοτήτων παροχής υγειονομικής περίθαλψης, εκπαίδευσης, πολιτιστικών υπηρεσιών και άλλων κοινωνικών υπηρεσιών, εξαιρουμένης της κοινωνικής ασφάλισης) πρέπει να ληφθούν υπόψη για τον κοινό δείκτη "Αριθμός των δημόσιων διοικήσεων ή </w:t>
            </w:r>
            <w:r w:rsidRPr="00815AD5">
              <w:lastRenderedPageBreak/>
              <w:t>των δημόσιων υπηρεσιών που υποστηρίζονται σε εθνικό, περιφερειακό ή τοπικό επίπεδο" .</w:t>
            </w:r>
          </w:p>
          <w:p w14:paraId="3013E4E3"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 xml:space="preserve">Ο ορισμός της κατηγορίας 84.12 καλύπτει δημόσιες υπηρεσίες όπως υγεία, εκπαίδευση, πολιτισμός, αθλητισμός, αναψυχή, περιβάλλον, στέγαση και κοινωνικές υπηρεσίες. Οι υπηρεσίες που αναφέρονται παραπάνω ταξινομούνται ως δημόσιες υπηρεσίες. Επομένως, </w:t>
            </w:r>
            <w:r w:rsidRPr="00815AD5">
              <w:rPr>
                <w:u w:val="single"/>
              </w:rPr>
              <w:t>ένας δημόσιος ή ιδιωτικός οργανισμός</w:t>
            </w:r>
            <w:r w:rsidRPr="00815AD5">
              <w:t xml:space="preserve"> που παρέχει αυτές τις υπηρεσίες θα πρέπει να καταμετράται σε αυτόν τον δείκτη.</w:t>
            </w:r>
          </w:p>
        </w:tc>
      </w:tr>
      <w:tr w:rsidR="00815AD5" w:rsidRPr="00815AD5" w14:paraId="0C09367B"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793660D3" w14:textId="77777777" w:rsidR="00815AD5" w:rsidRPr="00815AD5" w:rsidRDefault="00815AD5" w:rsidP="00815AD5">
            <w:pPr>
              <w:spacing w:after="160" w:line="259" w:lineRule="auto"/>
            </w:pPr>
            <w:r w:rsidRPr="00815AD5">
              <w:lastRenderedPageBreak/>
              <w:t>Μονάδα μέτρησης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362D89B8"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Αριθμός φορέων</w:t>
            </w:r>
          </w:p>
        </w:tc>
      </w:tr>
      <w:tr w:rsidR="00815AD5" w:rsidRPr="00815AD5" w14:paraId="3B7CF8FF"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587BCFF8" w14:textId="77777777" w:rsidR="00815AD5" w:rsidRPr="00815AD5" w:rsidRDefault="00815AD5" w:rsidP="00815AD5">
            <w:pPr>
              <w:spacing w:after="160" w:line="259" w:lineRule="auto"/>
            </w:pPr>
            <w:r w:rsidRPr="00815AD5">
              <w:t>Στόχος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20E63B48"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Είναι η τιμή που αναμένεται στο τέλος της προγραμματικής περιόδου. Δεν απαιτείται σύνδεση όλων των δεικτών με τιμή στόχου</w:t>
            </w:r>
          </w:p>
        </w:tc>
      </w:tr>
      <w:tr w:rsidR="00815AD5" w:rsidRPr="00815AD5" w14:paraId="5A321C38"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44691F2F" w14:textId="77777777" w:rsidR="00815AD5" w:rsidRPr="00815AD5" w:rsidRDefault="00815AD5" w:rsidP="00815AD5">
            <w:pPr>
              <w:spacing w:after="160" w:line="259" w:lineRule="auto"/>
            </w:pPr>
            <w:r w:rsidRPr="00815AD5">
              <w:t>Τιμή Βάσης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0FDE3208"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0</w:t>
            </w:r>
          </w:p>
        </w:tc>
      </w:tr>
      <w:tr w:rsidR="00815AD5" w:rsidRPr="00815AD5" w14:paraId="6C500901"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4F717CD7" w14:textId="77777777" w:rsidR="00815AD5" w:rsidRPr="00815AD5" w:rsidRDefault="00815AD5" w:rsidP="00815AD5">
            <w:pPr>
              <w:spacing w:after="160" w:line="259" w:lineRule="auto"/>
            </w:pPr>
            <w:r w:rsidRPr="00815AD5">
              <w:t>Κατηγοριοποίηση</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4FCF1E8B"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Ανά κατηγορία περιφέρειας.</w:t>
            </w:r>
          </w:p>
          <w:p w14:paraId="57D39D8D"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rPr>
                <w:b/>
              </w:rPr>
              <w:t>Σε παρεμβάσεις Τομεακών Προγραμμάτων που έχουν οριζόντιο χαρακτήρα και που η τιμή του δείκτη δεν δύναται να διαιρεθεί ανά κατηγορία περιφερειών, καθώς δεν λαμβάνει δεκαδικά, αποτυπώνονται οι τιμές με βάση την κατανομή των πόρων (</w:t>
            </w:r>
            <w:r w:rsidRPr="00815AD5">
              <w:rPr>
                <w:b/>
                <w:lang w:val="en-US"/>
              </w:rPr>
              <w:t>pro</w:t>
            </w:r>
            <w:r w:rsidRPr="00815AD5">
              <w:rPr>
                <w:b/>
              </w:rPr>
              <w:t xml:space="preserve"> </w:t>
            </w:r>
            <w:r w:rsidRPr="00815AD5">
              <w:rPr>
                <w:b/>
                <w:lang w:val="en-US"/>
              </w:rPr>
              <w:t>rata</w:t>
            </w:r>
            <w:r w:rsidRPr="00815AD5">
              <w:rPr>
                <w:b/>
              </w:rPr>
              <w:t xml:space="preserve"> </w:t>
            </w:r>
            <w:r w:rsidRPr="00815AD5">
              <w:rPr>
                <w:b/>
                <w:lang w:val="en-US"/>
              </w:rPr>
              <w:t>allocation</w:t>
            </w:r>
            <w:r w:rsidRPr="00815AD5">
              <w:rPr>
                <w:b/>
              </w:rPr>
              <w:t xml:space="preserve">) έτσι ώστε μεγαλύτερη τιμή να λάβει η κατηγορία περιφερειών που έχει το μεγαλύτερο προϋπολογισμό. Σε  περιπτώσεις που ο δείκτης έχει τιμή 1 , η τιμή καταχωρείται αντίστοιχα στην κατηγορία περιφερειών με το μεγαλύτερο προϋπολογισμό και η άλλη </w:t>
            </w:r>
            <w:proofErr w:type="spellStart"/>
            <w:r w:rsidRPr="00815AD5">
              <w:rPr>
                <w:b/>
              </w:rPr>
              <w:t>κ.π</w:t>
            </w:r>
            <w:proofErr w:type="spellEnd"/>
            <w:r w:rsidRPr="00815AD5">
              <w:rPr>
                <w:b/>
              </w:rPr>
              <w:t xml:space="preserve"> λαμβάνει μηδενική τιμή. (1-0 = Σύνολο 1)</w:t>
            </w:r>
          </w:p>
        </w:tc>
      </w:tr>
      <w:tr w:rsidR="00815AD5" w:rsidRPr="00815AD5" w14:paraId="7EC1961C"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557662F3" w14:textId="77777777" w:rsidR="00815AD5" w:rsidRPr="00815AD5" w:rsidRDefault="00815AD5" w:rsidP="00815AD5">
            <w:pPr>
              <w:spacing w:after="160" w:line="259" w:lineRule="auto"/>
            </w:pPr>
            <w:r w:rsidRPr="00815AD5">
              <w:t>Τεκμηρίωση</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39BEDA39"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Τα Κ-Μ θα συγκεντρώσουν τους πόρους ESF+  στο πλαίσιο της επιμερισμένης διαχείρισης σε παρεμβάσεις που αντιμετωπίζουν τις προκλήσεις που έχουν αναδειχθεί στα Εθνικά Προγράμματα Μεταρρυθμίσεων, στο Ευρωπαϊκό Εξάμηνο και στις σχετικές ανά χώρα συστάσεις σύμφωνα με το άρθρ. 121(2) της Συνθήκης για την ΕΕ και το άρθρ. 148(4). Καθώς σημαντικό κομμάτι αυτών των προκλήσεων είναι συστημικό, το ESF+ θα συγχρηματοδοτήσει συστημικές παρεμβάσεις σε όλους τους Ειδικούς Στόχους. Η τιμή του δείκτη αποτελεί σημαντική ένδειξη για το πώς το ESF+ χρησιμοποιείται για να υποστηρίξει τις συστημικές αλλαγές.</w:t>
            </w:r>
          </w:p>
          <w:p w14:paraId="69C67D4B"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Επιπλέον, το ESF+ θα συμβάλλει επίσης στους Στόχους Πολιτικής άλλων Ταμείων, συμπεριλαμβανομένης της συστημικής υποστήριξης φορέων, και ιδίως στους ΣΠ  (1) και (2)</w:t>
            </w:r>
          </w:p>
        </w:tc>
      </w:tr>
      <w:tr w:rsidR="00815AD5" w:rsidRPr="00815AD5" w14:paraId="320D17CE"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63A8B7A4" w14:textId="77777777" w:rsidR="00815AD5" w:rsidRPr="00815AD5" w:rsidRDefault="00815AD5" w:rsidP="00815AD5">
            <w:pPr>
              <w:spacing w:after="160" w:line="259" w:lineRule="auto"/>
            </w:pPr>
            <w:r w:rsidRPr="00815AD5">
              <w:t>Συλλογή δεδομένων</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5A99F800"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 xml:space="preserve">Ο δείκτης θα πρέπει να περιλαμβάνεται στις προσκλήσεις των παρεμβάσεων που συμβάλλουν σε αυτόν, και όχι μόνο στις περιπτώσεις που είναι επιχειρησιακός δείκτης στον αντίστοιχο Ειδικό Στόχο. </w:t>
            </w:r>
          </w:p>
          <w:p w14:paraId="5FCC07A4"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lastRenderedPageBreak/>
              <w:t>Η πληροφορία για το δείκτη θα συλλέγεται από διοικητικά έγγραφα π.χ. συμφωνίες επιχορήγησης. Μόνο οι φορείς δημόσιας διοίκησης ή οι δημόσιες υπηρεσίες για τις οποίες προβλέπεται συγκεκριμένη δαπάνη θα πρέπει να μετρούνται στο δείκτη. Δεν περιλαμβάνονται οι δαπάνες Τεχνικής Βοήθειας.</w:t>
            </w:r>
          </w:p>
          <w:p w14:paraId="314E1125"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rPr>
                <w:lang w:val="en-US"/>
              </w:rPr>
              <w:t>O</w:t>
            </w:r>
            <w:r w:rsidRPr="00815AD5">
              <w:t xml:space="preserve"> δείκτης λαμβάνει τιμή κατά την έναρξη υλοποίησης της πράξης στην οποία υποστηρίζεται η δημόσια υπηρεσία/φορέας που μετρά.</w:t>
            </w:r>
          </w:p>
          <w:p w14:paraId="1AF487DE"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rPr>
                <w:i/>
              </w:rPr>
            </w:pPr>
            <w:r w:rsidRPr="00815AD5">
              <w:rPr>
                <w:i/>
              </w:rPr>
              <w:t>Εφόσον απαιτηθεί θα δοθούν περισσότερες οδηγίες στα έντυπα του ΣΔΕ.</w:t>
            </w:r>
          </w:p>
        </w:tc>
      </w:tr>
      <w:tr w:rsidR="00815AD5" w:rsidRPr="00815AD5" w14:paraId="1C85C331"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3B57109A" w14:textId="77777777" w:rsidR="00815AD5" w:rsidRPr="00815AD5" w:rsidRDefault="00815AD5" w:rsidP="00815AD5">
            <w:pPr>
              <w:spacing w:after="160" w:line="259" w:lineRule="auto"/>
            </w:pPr>
            <w:r w:rsidRPr="00815AD5">
              <w:lastRenderedPageBreak/>
              <w:t>Συχνότητα αναφοράς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1624CAD3"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Δύο φορές ετησίως, τέλος Ιανουαρίου και τέλος Ιουλίου, ξεκινώντας από 31.1.2022 και έως το 2030.</w:t>
            </w:r>
          </w:p>
        </w:tc>
      </w:tr>
      <w:tr w:rsidR="00815AD5" w:rsidRPr="00815AD5" w14:paraId="73A180FF"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529DEDAA" w14:textId="77777777" w:rsidR="00815AD5" w:rsidRPr="00815AD5" w:rsidRDefault="00815AD5" w:rsidP="00815AD5">
            <w:pPr>
              <w:spacing w:after="160" w:line="259" w:lineRule="auto"/>
            </w:pPr>
            <w:r w:rsidRPr="00815AD5">
              <w:t>Σύνδεση με δείκτες</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vAlign w:val="center"/>
          </w:tcPr>
          <w:p w14:paraId="0FB37BD0"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Δεν υπάρχει</w:t>
            </w:r>
          </w:p>
        </w:tc>
      </w:tr>
      <w:tr w:rsidR="00815AD5" w:rsidRPr="00815AD5" w14:paraId="1BAC4E84" w14:textId="77777777" w:rsidTr="00294AE6">
        <w:tc>
          <w:tcPr>
            <w:cnfStyle w:val="001000000000" w:firstRow="0" w:lastRow="0" w:firstColumn="1" w:lastColumn="0" w:oddVBand="0" w:evenVBand="0" w:oddHBand="0" w:evenHBand="0" w:firstRowFirstColumn="0" w:firstRowLastColumn="0" w:lastRowFirstColumn="0" w:lastRowLastColumn="0"/>
            <w:tcW w:w="1192" w:type="pct"/>
            <w:tcBorders>
              <w:top w:val="single" w:sz="2" w:space="0" w:color="A8D08D" w:themeColor="accent6" w:themeTint="99"/>
              <w:bottom w:val="single" w:sz="2" w:space="0" w:color="A8D08D" w:themeColor="accent6" w:themeTint="99"/>
              <w:right w:val="single" w:sz="4" w:space="0" w:color="A8D08D" w:themeColor="accent6" w:themeTint="99"/>
            </w:tcBorders>
            <w:noWrap/>
            <w:hideMark/>
          </w:tcPr>
          <w:p w14:paraId="15DEBDCF" w14:textId="77777777" w:rsidR="00815AD5" w:rsidRPr="00815AD5" w:rsidRDefault="00815AD5" w:rsidP="00815AD5">
            <w:pPr>
              <w:spacing w:after="160" w:line="259" w:lineRule="auto"/>
            </w:pPr>
            <w:r w:rsidRPr="00815AD5">
              <w:t>Επικύρωση</w:t>
            </w:r>
          </w:p>
        </w:tc>
        <w:tc>
          <w:tcPr>
            <w:tcW w:w="3808" w:type="pct"/>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tcPr>
          <w:p w14:paraId="1D247BC1" w14:textId="77777777" w:rsidR="00815AD5" w:rsidRPr="00815AD5" w:rsidRDefault="00815AD5" w:rsidP="00815AD5">
            <w:pPr>
              <w:spacing w:after="160" w:line="259" w:lineRule="auto"/>
              <w:cnfStyle w:val="000000000000" w:firstRow="0" w:lastRow="0" w:firstColumn="0" w:lastColumn="0" w:oddVBand="0" w:evenVBand="0" w:oddHBand="0" w:evenHBand="0" w:firstRowFirstColumn="0" w:firstRowLastColumn="0" w:lastRowFirstColumn="0" w:lastRowLastColumn="0"/>
            </w:pPr>
            <w:r w:rsidRPr="00815AD5">
              <w:t>Δεν υπάρχει</w:t>
            </w:r>
          </w:p>
        </w:tc>
      </w:tr>
    </w:tbl>
    <w:p w14:paraId="787EDAE9" w14:textId="77777777" w:rsidR="00383B04" w:rsidRDefault="00383B04"/>
    <w:sectPr w:rsidR="00383B0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F77"/>
    <w:rsid w:val="00383B04"/>
    <w:rsid w:val="00815AD5"/>
    <w:rsid w:val="00A07F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562A8-0E5A-45C6-8527-BBC863DF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6">
    <w:name w:val="Grid Table 1 Light Accent 6"/>
    <w:basedOn w:val="a1"/>
    <w:uiPriority w:val="46"/>
    <w:rsid w:val="00815AD5"/>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4033</Characters>
  <Application>Microsoft Office Word</Application>
  <DocSecurity>0</DocSecurity>
  <Lines>33</Lines>
  <Paragraphs>9</Paragraphs>
  <ScaleCrop>false</ScaleCrop>
  <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ΑΔΑΜΟΠΟΥΛΟΥ ΑΓΑΠΗ</dc:creator>
  <cp:keywords/>
  <dc:description/>
  <cp:lastModifiedBy>ΑΔΑΜΟΠΟΥΛΟΥ ΑΓΑΠΗ</cp:lastModifiedBy>
  <cp:revision>2</cp:revision>
  <dcterms:created xsi:type="dcterms:W3CDTF">2023-06-13T14:19:00Z</dcterms:created>
  <dcterms:modified xsi:type="dcterms:W3CDTF">2023-06-13T14:19:00Z</dcterms:modified>
</cp:coreProperties>
</file>