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AF9" w:rsidRPr="00637C10" w:rsidRDefault="005D51F7" w:rsidP="00637C10">
      <w:pPr>
        <w:pStyle w:val="BodyText21"/>
        <w:spacing w:after="120" w:line="240" w:lineRule="auto"/>
        <w:ind w:right="26"/>
        <w:outlineLvl w:val="0"/>
        <w:rPr>
          <w:rFonts w:ascii="Tahoma" w:hAnsi="Tahoma" w:cs="Tahoma"/>
          <w:b/>
          <w:sz w:val="20"/>
        </w:rPr>
      </w:pPr>
      <w:r>
        <w:rPr>
          <w:rFonts w:ascii="Tahoma" w:hAnsi="Tahoma" w:cs="Tahoma"/>
          <w:b/>
          <w:sz w:val="20"/>
        </w:rPr>
        <w:t>ΠΑΡΑΡΤΗΜΑ</w:t>
      </w:r>
      <w:r w:rsidR="009C7AF9" w:rsidRPr="00637C10">
        <w:rPr>
          <w:rFonts w:ascii="Tahoma" w:hAnsi="Tahoma" w:cs="Tahoma"/>
          <w:b/>
          <w:sz w:val="20"/>
        </w:rPr>
        <w:t xml:space="preserve"> </w:t>
      </w:r>
      <w:r w:rsidR="00EC654E" w:rsidRPr="00637C10">
        <w:rPr>
          <w:rFonts w:ascii="Tahoma" w:hAnsi="Tahoma" w:cs="Tahoma"/>
          <w:b/>
          <w:sz w:val="20"/>
        </w:rPr>
        <w:t>–</w:t>
      </w:r>
      <w:r w:rsidR="009C7AF9" w:rsidRPr="00637C10">
        <w:rPr>
          <w:rFonts w:ascii="Tahoma" w:hAnsi="Tahoma" w:cs="Tahoma"/>
          <w:b/>
          <w:sz w:val="20"/>
        </w:rPr>
        <w:t xml:space="preserve"> </w:t>
      </w:r>
      <w:r w:rsidR="00EC654E" w:rsidRPr="00637C10">
        <w:rPr>
          <w:rFonts w:ascii="Tahoma" w:hAnsi="Tahoma" w:cs="Tahoma"/>
          <w:b/>
          <w:sz w:val="20"/>
        </w:rPr>
        <w:t>Έλεγχος τήρησης υποχρεώσεων του Κανονισμού (ΕΕ) αριθ. 651/2014 της Επιτροπής, της 17</w:t>
      </w:r>
      <w:r w:rsidR="00EC654E" w:rsidRPr="00637C10">
        <w:rPr>
          <w:rFonts w:ascii="Tahoma" w:hAnsi="Tahoma" w:cs="Tahoma"/>
          <w:b/>
          <w:sz w:val="20"/>
          <w:vertAlign w:val="superscript"/>
        </w:rPr>
        <w:t>ης</w:t>
      </w:r>
      <w:r w:rsidR="00EC654E" w:rsidRPr="00637C10">
        <w:rPr>
          <w:rFonts w:ascii="Tahoma" w:hAnsi="Tahoma" w:cs="Tahoma"/>
          <w:b/>
          <w:sz w:val="20"/>
        </w:rPr>
        <w:t xml:space="preserve"> Ιουνίου 2014, για την </w:t>
      </w:r>
      <w:r w:rsidR="00313779" w:rsidRPr="00637C10">
        <w:rPr>
          <w:rFonts w:ascii="Tahoma" w:hAnsi="Tahoma" w:cs="Tahoma"/>
          <w:b/>
          <w:sz w:val="20"/>
        </w:rPr>
        <w:t>κήρυξη</w:t>
      </w:r>
      <w:r w:rsidR="00EC654E" w:rsidRPr="00637C10">
        <w:rPr>
          <w:rFonts w:ascii="Tahoma" w:hAnsi="Tahoma" w:cs="Tahoma"/>
          <w:b/>
          <w:sz w:val="20"/>
        </w:rPr>
        <w:t xml:space="preserve"> ορισμένων κατηγοριών ενισχύσεων ως συμβατών με την εσωτερική αγορά κατ’ εφαρμογή των άρθρων 107 και 108 της Συνθήκες (Γ</w:t>
      </w:r>
      <w:r w:rsidR="00880E0A">
        <w:rPr>
          <w:rFonts w:ascii="Tahoma" w:hAnsi="Tahoma" w:cs="Tahoma"/>
          <w:b/>
          <w:sz w:val="20"/>
        </w:rPr>
        <w:t>ενικός Απαλλακτικός Κανονισμός - Γ</w:t>
      </w:r>
      <w:r w:rsidR="00EC654E" w:rsidRPr="00637C10">
        <w:rPr>
          <w:rFonts w:ascii="Tahoma" w:hAnsi="Tahoma" w:cs="Tahoma"/>
          <w:b/>
          <w:sz w:val="20"/>
        </w:rPr>
        <w:t>ΑΚ)</w:t>
      </w:r>
      <w:r w:rsidR="008A556D">
        <w:rPr>
          <w:rFonts w:ascii="Tahoma" w:hAnsi="Tahoma" w:cs="Tahoma"/>
          <w:b/>
          <w:sz w:val="20"/>
        </w:rPr>
        <w:t xml:space="preserve">, όπως </w:t>
      </w:r>
      <w:r w:rsidR="005249E2">
        <w:rPr>
          <w:rFonts w:ascii="Tahoma" w:hAnsi="Tahoma" w:cs="Tahoma"/>
          <w:b/>
          <w:sz w:val="20"/>
        </w:rPr>
        <w:t xml:space="preserve">έχει τροποποιηθεί και </w:t>
      </w:r>
      <w:r w:rsidR="008A556D">
        <w:rPr>
          <w:rFonts w:ascii="Tahoma" w:hAnsi="Tahoma" w:cs="Tahoma"/>
          <w:b/>
          <w:sz w:val="20"/>
        </w:rPr>
        <w:t>ισχύει</w:t>
      </w:r>
    </w:p>
    <w:p w:rsidR="00313779" w:rsidRPr="00637C10" w:rsidRDefault="00313779" w:rsidP="00637C10">
      <w:pPr>
        <w:pStyle w:val="BodyText21"/>
        <w:spacing w:after="120" w:line="240" w:lineRule="auto"/>
        <w:ind w:right="26"/>
        <w:outlineLvl w:val="0"/>
        <w:rPr>
          <w:rFonts w:ascii="Tahoma" w:hAnsi="Tahoma" w:cs="Tahoma"/>
          <w:b/>
          <w:sz w:val="20"/>
        </w:rPr>
      </w:pPr>
    </w:p>
    <w:p w:rsidR="00313779" w:rsidRPr="00637C10" w:rsidRDefault="00313779" w:rsidP="00637C10">
      <w:pPr>
        <w:pStyle w:val="BodyText21"/>
        <w:spacing w:after="120" w:line="240" w:lineRule="auto"/>
        <w:ind w:right="26"/>
        <w:outlineLvl w:val="0"/>
        <w:rPr>
          <w:rFonts w:ascii="Tahoma" w:hAnsi="Tahoma" w:cs="Tahoma"/>
          <w:b/>
          <w:sz w:val="20"/>
        </w:rPr>
      </w:pPr>
      <w:r w:rsidRPr="00637C10">
        <w:rPr>
          <w:rFonts w:ascii="Tahoma" w:hAnsi="Tahoma" w:cs="Tahoma"/>
          <w:b/>
          <w:sz w:val="20"/>
        </w:rPr>
        <w:t xml:space="preserve">Υποχρεώσεις Γενικού μέρους </w:t>
      </w:r>
      <w:r w:rsidR="00784ED5" w:rsidRPr="00637C10">
        <w:rPr>
          <w:rFonts w:ascii="Tahoma" w:hAnsi="Tahoma" w:cs="Tahoma"/>
          <w:b/>
          <w:sz w:val="20"/>
        </w:rPr>
        <w:t xml:space="preserve">(Κεφαλαίου Ι) </w:t>
      </w:r>
      <w:r w:rsidRPr="00637C10">
        <w:rPr>
          <w:rFonts w:ascii="Tahoma" w:hAnsi="Tahoma" w:cs="Tahoma"/>
          <w:b/>
          <w:sz w:val="20"/>
        </w:rPr>
        <w:t>του ΓΑΚ</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Πρέπει να τηρούνται τα ακόλουθα</w:t>
      </w:r>
      <w:r w:rsidR="00C06212" w:rsidRPr="00637C10">
        <w:rPr>
          <w:rFonts w:ascii="Tahoma" w:hAnsi="Tahoma" w:cs="Tahoma"/>
          <w:sz w:val="20"/>
          <w:szCs w:val="20"/>
        </w:rPr>
        <w:t xml:space="preserve"> </w:t>
      </w:r>
      <w:r w:rsidR="008A556D">
        <w:rPr>
          <w:rFonts w:ascii="Tahoma" w:hAnsi="Tahoma" w:cs="Tahoma"/>
          <w:sz w:val="20"/>
          <w:szCs w:val="20"/>
        </w:rPr>
        <w:t xml:space="preserve">καθώς </w:t>
      </w:r>
      <w:r w:rsidR="00C06212" w:rsidRPr="00637C10">
        <w:rPr>
          <w:rFonts w:ascii="Tahoma" w:hAnsi="Tahoma" w:cs="Tahoma"/>
          <w:sz w:val="20"/>
          <w:szCs w:val="20"/>
        </w:rPr>
        <w:t>και να προβλέπεται διαδικασία/μηχανισμός επιβεβαίωσης και παρακολούθησης της συμβατότητας με τα ακόλουθα</w:t>
      </w:r>
      <w:r w:rsidRPr="00637C10">
        <w:rPr>
          <w:rFonts w:ascii="Tahoma" w:hAnsi="Tahoma" w:cs="Tahoma"/>
          <w:sz w:val="20"/>
          <w:szCs w:val="20"/>
        </w:rPr>
        <w:t>:</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 xml:space="preserve">Αποκλεισμός των επιχειρήσεων τις οποίες αφορά ο κανόνας </w:t>
      </w:r>
      <w:proofErr w:type="spellStart"/>
      <w:r w:rsidRPr="00637C10">
        <w:rPr>
          <w:rFonts w:ascii="Tahoma" w:hAnsi="Tahoma" w:cs="Tahoma"/>
          <w:sz w:val="20"/>
          <w:szCs w:val="20"/>
          <w:u w:val="single"/>
        </w:rPr>
        <w:t>Deggendorf</w:t>
      </w:r>
      <w:proofErr w:type="spellEnd"/>
      <w:r w:rsidRPr="00637C10">
        <w:rPr>
          <w:rFonts w:ascii="Tahoma" w:hAnsi="Tahoma" w:cs="Tahoma"/>
          <w:sz w:val="20"/>
          <w:szCs w:val="20"/>
          <w:u w:val="single"/>
        </w:rPr>
        <w:t xml:space="preserve"> </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Ο ΓΑΚ δεν εφαρμόζεται στα καθεστώτα ενισχύσεων που δεν αποκλείουν ρητά την καταβολή μεμονωμένων ενισχύσεων υπέρ επιχείρησης κατά της οποίας εκκρεμεί διαταγή ανάκτησης, κατόπιν προηγούμενης απόφασης της Επιτροπής, με την οποία μια ενίσχυση </w:t>
      </w:r>
      <w:r w:rsidR="001717B8" w:rsidRPr="005249E2">
        <w:rPr>
          <w:rFonts w:ascii="Tahoma" w:hAnsi="Tahoma" w:cs="Tahoma"/>
          <w:sz w:val="20"/>
          <w:szCs w:val="20"/>
        </w:rPr>
        <w:t xml:space="preserve">χορηγούμενη από το ίδιο κράτος μέλος </w:t>
      </w:r>
      <w:r w:rsidRPr="005249E2">
        <w:rPr>
          <w:rFonts w:ascii="Tahoma" w:hAnsi="Tahoma" w:cs="Tahoma"/>
          <w:sz w:val="20"/>
          <w:szCs w:val="20"/>
        </w:rPr>
        <w:t xml:space="preserve">κηρύσσεται παράνομη και ασυμβίβαστη </w:t>
      </w:r>
      <w:r w:rsidR="001717B8" w:rsidRPr="005249E2">
        <w:rPr>
          <w:rFonts w:ascii="Tahoma" w:hAnsi="Tahoma" w:cs="Tahoma"/>
          <w:sz w:val="20"/>
          <w:szCs w:val="20"/>
        </w:rPr>
        <w:t xml:space="preserve">με την εσωτερική αγορά </w:t>
      </w:r>
      <w:r w:rsidRPr="005249E2">
        <w:rPr>
          <w:rFonts w:ascii="Tahoma" w:hAnsi="Tahoma" w:cs="Tahoma"/>
          <w:sz w:val="20"/>
          <w:szCs w:val="20"/>
        </w:rPr>
        <w:t xml:space="preserve">και δεν εφαρμόζεται στις </w:t>
      </w:r>
      <w:proofErr w:type="spellStart"/>
      <w:r w:rsidRPr="005249E2">
        <w:rPr>
          <w:rFonts w:ascii="Tahoma" w:hAnsi="Tahoma" w:cs="Tahoma"/>
          <w:sz w:val="20"/>
          <w:szCs w:val="20"/>
        </w:rPr>
        <w:t>ad</w:t>
      </w:r>
      <w:proofErr w:type="spellEnd"/>
      <w:r w:rsidRPr="005249E2">
        <w:rPr>
          <w:rFonts w:ascii="Tahoma" w:hAnsi="Tahoma" w:cs="Tahoma"/>
          <w:sz w:val="20"/>
          <w:szCs w:val="20"/>
        </w:rPr>
        <w:t xml:space="preserve"> </w:t>
      </w:r>
      <w:proofErr w:type="spellStart"/>
      <w:r w:rsidRPr="005249E2">
        <w:rPr>
          <w:rFonts w:ascii="Tahoma" w:hAnsi="Tahoma" w:cs="Tahoma"/>
          <w:sz w:val="20"/>
          <w:szCs w:val="20"/>
        </w:rPr>
        <w:t>hoc</w:t>
      </w:r>
      <w:proofErr w:type="spellEnd"/>
      <w:r w:rsidRPr="005249E2">
        <w:rPr>
          <w:rFonts w:ascii="Tahoma" w:hAnsi="Tahoma" w:cs="Tahoma"/>
          <w:sz w:val="20"/>
          <w:szCs w:val="20"/>
        </w:rPr>
        <w:t xml:space="preserve"> ενισχύσεις υπέρ μιας τέτοιας επιχείρησης.</w:t>
      </w:r>
      <w:r w:rsidRPr="00637C10">
        <w:rPr>
          <w:rFonts w:ascii="Tahoma" w:hAnsi="Tahoma" w:cs="Tahoma"/>
          <w:sz w:val="20"/>
          <w:szCs w:val="20"/>
        </w:rPr>
        <w:t xml:space="preserve"> </w:t>
      </w:r>
    </w:p>
    <w:p w:rsidR="00AF64AE" w:rsidRPr="00637C10" w:rsidRDefault="00AF64AE" w:rsidP="00637C10">
      <w:pPr>
        <w:numPr>
          <w:ilvl w:val="0"/>
          <w:numId w:val="2"/>
        </w:numPr>
        <w:spacing w:after="120" w:line="240" w:lineRule="auto"/>
        <w:jc w:val="both"/>
        <w:rPr>
          <w:rFonts w:ascii="Tahoma" w:hAnsi="Tahoma" w:cs="Tahoma"/>
          <w:sz w:val="20"/>
          <w:szCs w:val="20"/>
        </w:rPr>
      </w:pPr>
      <w:r w:rsidRPr="00637C10">
        <w:rPr>
          <w:rFonts w:ascii="Tahoma" w:hAnsi="Tahoma" w:cs="Tahoma"/>
          <w:sz w:val="20"/>
          <w:szCs w:val="20"/>
          <w:u w:val="single"/>
        </w:rPr>
        <w:t>Αποκλεισμός των προβληματικών επιχειρήσεων</w:t>
      </w:r>
      <w:r w:rsidRPr="00637C10">
        <w:rPr>
          <w:rFonts w:ascii="Tahoma" w:hAnsi="Tahoma" w:cs="Tahoma"/>
          <w:sz w:val="20"/>
          <w:szCs w:val="20"/>
        </w:rPr>
        <w:t xml:space="preserve"> </w:t>
      </w:r>
    </w:p>
    <w:p w:rsidR="00D17738"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 ΓΑΚ δεν εφαρμόζεται στις ενισχύσεις για προβληματικές επιχειρήσεις.</w:t>
      </w:r>
      <w:r w:rsidR="006C4880" w:rsidRPr="00637C10">
        <w:rPr>
          <w:rFonts w:ascii="Tahoma" w:hAnsi="Tahoma" w:cs="Tahoma"/>
          <w:sz w:val="20"/>
          <w:szCs w:val="20"/>
        </w:rPr>
        <w:t xml:space="preserve"> </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 xml:space="preserve">Αποκλεισμός των μέτρων ενισχύσεων που παραβιάζουν το δίκαιο της Ένωσης </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 ΓΑΚ δεν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β) την υποχρέωση του δικαιούχου να χρησιμοποιεί προϊόντα εγχώριας παραγωγής ή εθνικές υπηρεσίες·</w:t>
      </w:r>
    </w:p>
    <w:p w:rsidR="00AF64AE" w:rsidRPr="00637C10" w:rsidRDefault="00AF64AE" w:rsidP="00637C10">
      <w:pPr>
        <w:spacing w:after="120" w:line="240" w:lineRule="auto"/>
        <w:ind w:left="357"/>
        <w:jc w:val="both"/>
        <w:rPr>
          <w:rFonts w:ascii="Tahoma" w:hAnsi="Tahoma" w:cs="Tahoma"/>
          <w:sz w:val="20"/>
          <w:szCs w:val="20"/>
        </w:rPr>
      </w:pPr>
      <w:r w:rsidRPr="00637C10">
        <w:rPr>
          <w:rFonts w:ascii="Tahoma" w:hAnsi="Tahoma" w:cs="Tahoma"/>
          <w:sz w:val="20"/>
          <w:szCs w:val="20"/>
        </w:rPr>
        <w:t>γ) τον περιορισμό της δυνατότητας των δικαιούχων να κάνουν χρήση των αποτελεσμάτων της έρευνας, ανάπτυξης και καινοτομίας σε άλλα κράτη μέλη.</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Όρια κοινοποίησης μεμονωμένων ενισχύσεων</w:t>
      </w:r>
    </w:p>
    <w:p w:rsidR="008A556D" w:rsidRDefault="009258AC">
      <w:pPr>
        <w:spacing w:after="120" w:line="240" w:lineRule="auto"/>
        <w:ind w:left="360"/>
        <w:jc w:val="both"/>
        <w:rPr>
          <w:rFonts w:ascii="Tahoma" w:hAnsi="Tahoma" w:cs="Tahoma"/>
          <w:sz w:val="20"/>
          <w:szCs w:val="20"/>
        </w:rPr>
      </w:pPr>
      <w:r w:rsidRPr="00637C10">
        <w:rPr>
          <w:rFonts w:ascii="Tahoma" w:hAnsi="Tahoma" w:cs="Tahoma"/>
          <w:sz w:val="20"/>
          <w:szCs w:val="20"/>
        </w:rPr>
        <w:t xml:space="preserve">1. </w:t>
      </w:r>
      <w:r w:rsidR="00AF64AE" w:rsidRPr="00637C10">
        <w:rPr>
          <w:rFonts w:ascii="Tahoma" w:hAnsi="Tahoma" w:cs="Tahoma"/>
          <w:sz w:val="20"/>
          <w:szCs w:val="20"/>
        </w:rPr>
        <w:t>Ο ΓΑΚ δεν εφαρμόζεται στις ενισχύσεις που υπερβαίνουν</w:t>
      </w:r>
      <w:r w:rsidR="008A556D">
        <w:rPr>
          <w:rFonts w:ascii="Tahoma" w:hAnsi="Tahoma" w:cs="Tahoma"/>
          <w:sz w:val="20"/>
          <w:szCs w:val="20"/>
        </w:rPr>
        <w:t>:</w:t>
      </w:r>
    </w:p>
    <w:p w:rsidR="005249E2" w:rsidRPr="005249E2" w:rsidRDefault="002F5995" w:rsidP="005249E2">
      <w:pPr>
        <w:pStyle w:val="a6"/>
        <w:numPr>
          <w:ilvl w:val="0"/>
          <w:numId w:val="34"/>
        </w:numPr>
        <w:spacing w:after="120" w:line="240" w:lineRule="auto"/>
        <w:jc w:val="both"/>
        <w:rPr>
          <w:rFonts w:ascii="Tahoma" w:hAnsi="Tahoma" w:cs="Tahoma"/>
          <w:sz w:val="20"/>
          <w:szCs w:val="20"/>
        </w:rPr>
      </w:pPr>
      <w:r w:rsidRPr="005249E2">
        <w:rPr>
          <w:rFonts w:ascii="Tahoma" w:hAnsi="Tahoma" w:cs="Tahoma"/>
          <w:sz w:val="20"/>
          <w:szCs w:val="20"/>
        </w:rPr>
        <w:t xml:space="preserve">για τις επενδυτικές ενισχύσεις για τον πολιτισμό και τη διατήρηση της κληρονομιάς: </w:t>
      </w:r>
      <w:r w:rsidR="0077002F" w:rsidRPr="005249E2">
        <w:rPr>
          <w:rFonts w:ascii="Tahoma" w:hAnsi="Tahoma" w:cs="Tahoma"/>
          <w:sz w:val="20"/>
          <w:szCs w:val="20"/>
        </w:rPr>
        <w:t xml:space="preserve">150 </w:t>
      </w:r>
      <w:r w:rsidRPr="005249E2">
        <w:rPr>
          <w:rFonts w:ascii="Tahoma" w:hAnsi="Tahoma" w:cs="Tahoma"/>
          <w:sz w:val="20"/>
          <w:szCs w:val="20"/>
        </w:rPr>
        <w:t xml:space="preserve">εκατ. ευρώ ανά έργο· </w:t>
      </w:r>
    </w:p>
    <w:p w:rsidR="008A556D" w:rsidRPr="005249E2" w:rsidRDefault="005249E2" w:rsidP="005249E2">
      <w:pPr>
        <w:pStyle w:val="a6"/>
        <w:numPr>
          <w:ilvl w:val="0"/>
          <w:numId w:val="34"/>
        </w:numPr>
        <w:spacing w:after="120" w:line="240" w:lineRule="auto"/>
        <w:jc w:val="both"/>
        <w:rPr>
          <w:rFonts w:ascii="Tahoma" w:hAnsi="Tahoma" w:cs="Tahoma"/>
          <w:sz w:val="20"/>
          <w:szCs w:val="20"/>
        </w:rPr>
      </w:pPr>
      <w:r>
        <w:rPr>
          <w:rFonts w:ascii="Tahoma" w:hAnsi="Tahoma" w:cs="Tahoma"/>
          <w:sz w:val="20"/>
          <w:szCs w:val="20"/>
        </w:rPr>
        <w:t xml:space="preserve">για τις </w:t>
      </w:r>
      <w:r w:rsidR="002F5995" w:rsidRPr="005249E2">
        <w:rPr>
          <w:rFonts w:ascii="Tahoma" w:hAnsi="Tahoma" w:cs="Tahoma"/>
          <w:sz w:val="20"/>
          <w:szCs w:val="20"/>
        </w:rPr>
        <w:t xml:space="preserve">ενισχύσεις λειτουργίας για τον πολιτισμό και τη διατήρηση της κληρονομιάς: </w:t>
      </w:r>
      <w:r w:rsidR="0077002F" w:rsidRPr="005249E2">
        <w:rPr>
          <w:rFonts w:ascii="Tahoma" w:hAnsi="Tahoma" w:cs="Tahoma"/>
          <w:sz w:val="20"/>
          <w:szCs w:val="20"/>
        </w:rPr>
        <w:t xml:space="preserve">75 </w:t>
      </w:r>
      <w:r w:rsidR="002F5995" w:rsidRPr="005249E2">
        <w:rPr>
          <w:rFonts w:ascii="Tahoma" w:hAnsi="Tahoma" w:cs="Tahoma"/>
          <w:sz w:val="20"/>
          <w:szCs w:val="20"/>
        </w:rPr>
        <w:t>εκατ. ευρώ ανά επιχείρηση ετησίως·</w:t>
      </w:r>
    </w:p>
    <w:p w:rsidR="00AF64AE" w:rsidRDefault="009258AC"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2. </w:t>
      </w:r>
      <w:r w:rsidR="00AF64AE" w:rsidRPr="00637C10">
        <w:rPr>
          <w:rFonts w:ascii="Tahoma" w:hAnsi="Tahoma" w:cs="Tahoma"/>
          <w:sz w:val="20"/>
          <w:szCs w:val="20"/>
        </w:rPr>
        <w:t>Τα όρια δεν επιτρέπεται να καταστρατηγούνται με τον τεχνητό διαχωρισμό των καθεστώτων ενισχύσεων ή των έργων ενίσχυσης.</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Χαρακτήρας κινήτρου</w:t>
      </w:r>
    </w:p>
    <w:p w:rsidR="00AF64AE"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Οι ενισχύσεις μπορούν να τύχουν απαλλαγής μόνον εάν έχουν χαρακτήρα κινήτρου</w:t>
      </w:r>
      <w:r w:rsidR="006326AC" w:rsidRPr="00637C10">
        <w:rPr>
          <w:rFonts w:ascii="Tahoma" w:hAnsi="Tahoma" w:cs="Tahoma"/>
          <w:sz w:val="20"/>
          <w:szCs w:val="20"/>
        </w:rPr>
        <w:t>, ως ακολούθως</w:t>
      </w:r>
      <w:r w:rsidRPr="00637C10">
        <w:rPr>
          <w:rFonts w:ascii="Tahoma" w:hAnsi="Tahoma" w:cs="Tahoma"/>
          <w:sz w:val="20"/>
          <w:szCs w:val="20"/>
        </w:rPr>
        <w:t>:</w:t>
      </w:r>
    </w:p>
    <w:p w:rsidR="00AF64AE" w:rsidRPr="00637C10" w:rsidRDefault="006326AC"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α) </w:t>
      </w:r>
      <w:r w:rsidR="00AF64AE" w:rsidRPr="00637C10">
        <w:rPr>
          <w:rFonts w:ascii="Tahoma" w:hAnsi="Tahoma" w:cs="Tahoma"/>
          <w:sz w:val="20"/>
          <w:szCs w:val="20"/>
        </w:rPr>
        <w:t>Ο δικαιούχος έχει υποβάλει αίτηση ενίσχυσης στο κράτος μέλος, πριν από την έναρξη του έργου ή των εργασιών, που περιλαμβάνει τουλάχιστον τα ακόλουθα στοιχεία:</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την ονομασία και το μέγεθος της επιχείρησης·</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περιγραφή του έργου, συμπεριλαμβανομένων των ημερομηνιών έναρξης και λήξης·</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τον τόπο εκτέλεσης του έργου·</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κατάλογο των δαπανών του έργου·</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p>
    <w:p w:rsidR="00AF64AE" w:rsidRPr="00637C10" w:rsidRDefault="006326AC" w:rsidP="00637C10">
      <w:pPr>
        <w:spacing w:after="120" w:line="240" w:lineRule="auto"/>
        <w:ind w:left="360"/>
        <w:jc w:val="both"/>
        <w:rPr>
          <w:rFonts w:ascii="Tahoma" w:hAnsi="Tahoma" w:cs="Tahoma"/>
          <w:sz w:val="20"/>
          <w:szCs w:val="20"/>
        </w:rPr>
      </w:pPr>
      <w:r w:rsidRPr="00637C10">
        <w:rPr>
          <w:rFonts w:ascii="Tahoma" w:hAnsi="Tahoma" w:cs="Tahoma"/>
          <w:sz w:val="20"/>
          <w:szCs w:val="20"/>
        </w:rPr>
        <w:lastRenderedPageBreak/>
        <w:t xml:space="preserve">β) </w:t>
      </w:r>
      <w:r w:rsidR="0077002F">
        <w:rPr>
          <w:rFonts w:ascii="Tahoma" w:hAnsi="Tahoma" w:cs="Tahoma"/>
          <w:sz w:val="20"/>
          <w:szCs w:val="20"/>
        </w:rPr>
        <w:t xml:space="preserve">Για </w:t>
      </w:r>
      <w:proofErr w:type="spellStart"/>
      <w:r w:rsidR="00AF64AE" w:rsidRPr="00637C10">
        <w:rPr>
          <w:rFonts w:ascii="Tahoma" w:hAnsi="Tahoma" w:cs="Tahoma"/>
          <w:sz w:val="20"/>
          <w:szCs w:val="20"/>
        </w:rPr>
        <w:t>Ad</w:t>
      </w:r>
      <w:proofErr w:type="spellEnd"/>
      <w:r w:rsidR="00AF64AE" w:rsidRPr="00637C10">
        <w:rPr>
          <w:rFonts w:ascii="Tahoma" w:hAnsi="Tahoma" w:cs="Tahoma"/>
          <w:sz w:val="20"/>
          <w:szCs w:val="20"/>
        </w:rPr>
        <w:t xml:space="preserve"> </w:t>
      </w:r>
      <w:proofErr w:type="spellStart"/>
      <w:r w:rsidR="00AF64AE" w:rsidRPr="00637C10">
        <w:rPr>
          <w:rFonts w:ascii="Tahoma" w:hAnsi="Tahoma" w:cs="Tahoma"/>
          <w:sz w:val="20"/>
          <w:szCs w:val="20"/>
        </w:rPr>
        <w:t>hoc</w:t>
      </w:r>
      <w:proofErr w:type="spellEnd"/>
      <w:r w:rsidR="00AF64AE" w:rsidRPr="00637C10">
        <w:rPr>
          <w:rFonts w:ascii="Tahoma" w:hAnsi="Tahoma" w:cs="Tahoma"/>
          <w:sz w:val="20"/>
          <w:szCs w:val="20"/>
        </w:rPr>
        <w:t xml:space="preserve"> ενισ</w:t>
      </w:r>
      <w:r w:rsidRPr="00637C10">
        <w:rPr>
          <w:rFonts w:ascii="Tahoma" w:hAnsi="Tahoma" w:cs="Tahoma"/>
          <w:sz w:val="20"/>
          <w:szCs w:val="20"/>
        </w:rPr>
        <w:t xml:space="preserve">χύσεις σε μεγάλες επιχειρήσεις, </w:t>
      </w:r>
      <w:r w:rsidR="00AF64AE" w:rsidRPr="00637C10">
        <w:rPr>
          <w:rFonts w:ascii="Tahoma" w:hAnsi="Tahoma" w:cs="Tahoma"/>
          <w:sz w:val="20"/>
          <w:szCs w:val="20"/>
        </w:rPr>
        <w:t>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ουσιώδη αύξηση του αντικειμένου του έργου/της δραστηριότητας ως αποτέλεσμα της ενίσχυσης· ή</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ουσιώδη αύξηση του συνολικού ποσού που δαπανά ο δικαιούχος για το έργο/τη δραστηριότητα ως αποτέλεσμα της ενίσχυσης· ή</w:t>
      </w:r>
    </w:p>
    <w:p w:rsidR="00AF64AE"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ουσιώδη αύξηση της ταχύτητας ολοκλήρωσης του συγκεκριμένου έργου/δραστηριότητας.</w:t>
      </w:r>
    </w:p>
    <w:p w:rsidR="0077002F" w:rsidRDefault="0077002F" w:rsidP="0077002F">
      <w:pPr>
        <w:spacing w:after="120" w:line="240" w:lineRule="auto"/>
        <w:ind w:left="360"/>
        <w:jc w:val="both"/>
        <w:rPr>
          <w:rFonts w:ascii="Tahoma" w:hAnsi="Tahoma" w:cs="Tahoma"/>
          <w:sz w:val="20"/>
          <w:szCs w:val="20"/>
        </w:rPr>
      </w:pPr>
      <w:r>
        <w:rPr>
          <w:rFonts w:ascii="Tahoma" w:hAnsi="Tahoma" w:cs="Tahoma"/>
          <w:sz w:val="20"/>
          <w:szCs w:val="20"/>
        </w:rPr>
        <w:t xml:space="preserve">Κατ’ </w:t>
      </w:r>
      <w:r w:rsidRPr="0077002F">
        <w:rPr>
          <w:rFonts w:ascii="Tahoma" w:hAnsi="Tahoma" w:cs="Tahoma"/>
          <w:sz w:val="20"/>
          <w:szCs w:val="20"/>
        </w:rPr>
        <w:t xml:space="preserve">εξαίρεση </w:t>
      </w:r>
      <w:r>
        <w:rPr>
          <w:rFonts w:ascii="Tahoma" w:hAnsi="Tahoma" w:cs="Tahoma"/>
          <w:sz w:val="20"/>
          <w:szCs w:val="20"/>
        </w:rPr>
        <w:t>των ανωτέρω, σύμφωνα με το άρθρο 6 , παρ. 5</w:t>
      </w:r>
      <w:r w:rsidRPr="0077002F">
        <w:rPr>
          <w:rFonts w:ascii="Tahoma" w:hAnsi="Tahoma" w:cs="Tahoma"/>
          <w:sz w:val="20"/>
          <w:szCs w:val="20"/>
        </w:rPr>
        <w:t xml:space="preserve"> του Κανονισμού (ΕΕ) αριθ. 651/2014, </w:t>
      </w:r>
      <w:r>
        <w:rPr>
          <w:rFonts w:ascii="Tahoma" w:hAnsi="Tahoma" w:cs="Tahoma"/>
          <w:sz w:val="20"/>
          <w:szCs w:val="20"/>
        </w:rPr>
        <w:t xml:space="preserve">ορισμένες </w:t>
      </w:r>
      <w:r w:rsidRPr="0077002F">
        <w:rPr>
          <w:rFonts w:ascii="Tahoma" w:hAnsi="Tahoma" w:cs="Tahoma"/>
          <w:sz w:val="20"/>
          <w:szCs w:val="20"/>
        </w:rPr>
        <w:t>κατηγορίες ενισχύσεων δεν απαιτείται να έχουν ή θεωρείται ότι έχουν χαρακτήρα κινήτρου</w:t>
      </w:r>
      <w:r>
        <w:rPr>
          <w:rFonts w:ascii="Tahoma" w:hAnsi="Tahoma" w:cs="Tahoma"/>
          <w:sz w:val="20"/>
          <w:szCs w:val="20"/>
        </w:rPr>
        <w:t xml:space="preserve">. Ειδικότερα, σύμφωνα με το στοιχείο η) της παρ. 5 του άρθρου 6, </w:t>
      </w:r>
      <w:r w:rsidRPr="0077002F">
        <w:rPr>
          <w:rFonts w:ascii="Tahoma" w:hAnsi="Tahoma" w:cs="Tahoma"/>
          <w:sz w:val="20"/>
          <w:szCs w:val="20"/>
        </w:rPr>
        <w:t>οι ενισχύσεις για τον πολιτισμό και τη διατήρηση της κληρονομιάς, εφόσον πληρούνται οι προϋποθέσεις που προβλέπονται στο άρθρο 53 του εν λόγω Κανονισμού</w:t>
      </w:r>
      <w:r>
        <w:rPr>
          <w:rFonts w:ascii="Tahoma" w:hAnsi="Tahoma" w:cs="Tahoma"/>
          <w:sz w:val="20"/>
          <w:szCs w:val="20"/>
        </w:rPr>
        <w:t>, θεωρείται ότι έχουν χαρακτήρα κινήτρου.</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Επιλέξιμες δαπάνες</w:t>
      </w:r>
    </w:p>
    <w:p w:rsidR="00297463"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Για τον υπολογισμό της έντασης της ενίσχυσης λαμβάνονται υπόψη αριθμητικά στοιχεία πριν από την αφαίρεση φόρων ή άλλων επιβαρύνσεων.</w:t>
      </w:r>
      <w:r w:rsidR="00297463" w:rsidRPr="00637C10">
        <w:rPr>
          <w:rFonts w:ascii="Tahoma" w:hAnsi="Tahoma" w:cs="Tahoma"/>
          <w:sz w:val="20"/>
          <w:szCs w:val="20"/>
        </w:rPr>
        <w:t xml:space="preserve"> </w:t>
      </w:r>
    </w:p>
    <w:p w:rsidR="00AF64AE"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 xml:space="preserve">Οι επιλέξιμες δαπάνες τεκμηριώνονται με σαφή, συγκεκριμένα και </w:t>
      </w:r>
      <w:proofErr w:type="spellStart"/>
      <w:r w:rsidRPr="00637C10">
        <w:rPr>
          <w:rFonts w:ascii="Tahoma" w:hAnsi="Tahoma" w:cs="Tahoma"/>
          <w:sz w:val="20"/>
          <w:szCs w:val="20"/>
        </w:rPr>
        <w:t>επικαιροποιημένα</w:t>
      </w:r>
      <w:proofErr w:type="spellEnd"/>
      <w:r w:rsidRPr="00637C10">
        <w:rPr>
          <w:rFonts w:ascii="Tahoma" w:hAnsi="Tahoma" w:cs="Tahoma"/>
          <w:sz w:val="20"/>
          <w:szCs w:val="20"/>
        </w:rPr>
        <w:t xml:space="preserve"> έγγραφα.</w:t>
      </w:r>
    </w:p>
    <w:p w:rsidR="00577371" w:rsidRDefault="00577371" w:rsidP="00637C10">
      <w:pPr>
        <w:pStyle w:val="a6"/>
        <w:numPr>
          <w:ilvl w:val="0"/>
          <w:numId w:val="1"/>
        </w:numPr>
        <w:spacing w:after="120" w:line="240" w:lineRule="auto"/>
        <w:contextualSpacing w:val="0"/>
        <w:jc w:val="both"/>
        <w:rPr>
          <w:rFonts w:ascii="Tahoma" w:hAnsi="Tahoma" w:cs="Tahoma"/>
          <w:sz w:val="20"/>
          <w:szCs w:val="20"/>
        </w:rPr>
      </w:pPr>
      <w:r w:rsidRPr="00577371">
        <w:rPr>
          <w:rFonts w:ascii="Tahoma" w:hAnsi="Tahoma" w:cs="Tahoma"/>
          <w:sz w:val="20"/>
          <w:szCs w:val="20"/>
        </w:rPr>
        <w:t>Το ποσό των επιλέξιμων δαπανών μπορεί να υπολογίζεται σύμφωνα με τις απλουστευμένες επιλογές κόστους που καθορίζονται στον κανονισμό (ΕΕ) αριθ. 1303/2013 του Ευρωπαϊκού Κοινοβουλίου και του Συμβουλίου, υπό την προϋπόθεση ότι η πράξη χρηματοδοτείται τουλάχιστον εν μέρει μέσω ταμείου της Ένωσης που επιτρέπει τη χρήση αυτών των απλουστευμένων επιλογών κόστους και ότι η κατηγορία δαπανών είναι επιλέξιμη σύμφωνα με τη σχετική διάταξη εξαίρεσης</w:t>
      </w:r>
      <w:r w:rsidR="00D3648F">
        <w:rPr>
          <w:rFonts w:ascii="Tahoma" w:hAnsi="Tahoma" w:cs="Tahoma"/>
          <w:sz w:val="20"/>
          <w:szCs w:val="20"/>
        </w:rPr>
        <w:t>.</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Σώρευση</w:t>
      </w:r>
    </w:p>
    <w:p w:rsidR="00C77FBA"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Η </w:t>
      </w:r>
      <w:r w:rsidR="00145D10">
        <w:rPr>
          <w:rFonts w:ascii="Tahoma" w:hAnsi="Tahoma" w:cs="Tahoma"/>
          <w:sz w:val="20"/>
          <w:szCs w:val="20"/>
        </w:rPr>
        <w:t>Δ.Α.</w:t>
      </w:r>
      <w:r w:rsidRPr="00637C10">
        <w:rPr>
          <w:rFonts w:ascii="Tahoma" w:hAnsi="Tahoma" w:cs="Tahoma"/>
          <w:sz w:val="20"/>
          <w:szCs w:val="20"/>
        </w:rPr>
        <w:t xml:space="preserve"> πρέπει να επιβεβαιώνει κάθε φορά ότι τηρούνται τα όρια κοινοποίησης του σημείου 4 ανωτέρω και οι μέγιστες εντάσεις ενίσχυσης του εφαρμοστέου κάθε φορά άρθρου του ειδικού μέρους του ΓΑΚ. </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Για τον σκοπό αυτό:</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Για τα όρια και τις μέγιστες εντάσεις ενίσχυσης λαμβάνεται υπόψη το συνολικό ποσό της ενίσχυσης·</w:t>
      </w:r>
    </w:p>
    <w:p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Ε</w:t>
      </w:r>
      <w:r w:rsidR="00AF64AE" w:rsidRPr="00637C10">
        <w:rPr>
          <w:rFonts w:ascii="Tahoma" w:hAnsi="Tahoma" w:cs="Tahoma"/>
          <w:sz w:val="20"/>
          <w:szCs w:val="20"/>
        </w:rPr>
        <w:t xml:space="preserve">άν </w:t>
      </w:r>
      <w:proofErr w:type="spellStart"/>
      <w:r w:rsidR="00AF64AE" w:rsidRPr="00637C10">
        <w:rPr>
          <w:rFonts w:ascii="Tahoma" w:hAnsi="Tahoma" w:cs="Tahoma"/>
          <w:sz w:val="20"/>
          <w:szCs w:val="20"/>
        </w:rPr>
        <w:t>ενωσιακή</w:t>
      </w:r>
      <w:proofErr w:type="spellEnd"/>
      <w:r w:rsidR="00AF64AE" w:rsidRPr="00637C10">
        <w:rPr>
          <w:rFonts w:ascii="Tahoma" w:hAnsi="Tahoma" w:cs="Tahoma"/>
          <w:sz w:val="20"/>
          <w:szCs w:val="20"/>
        </w:rPr>
        <w:t xml:space="preserve"> χρηματοδότηση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w:t>
      </w:r>
      <w:proofErr w:type="spellStart"/>
      <w:r w:rsidR="00AF64AE" w:rsidRPr="00637C10">
        <w:rPr>
          <w:rFonts w:ascii="Tahoma" w:hAnsi="Tahoma" w:cs="Tahoma"/>
          <w:sz w:val="20"/>
          <w:szCs w:val="20"/>
        </w:rPr>
        <w:t>ενωσιακής</w:t>
      </w:r>
      <w:proofErr w:type="spellEnd"/>
      <w:r w:rsidR="00AF64AE" w:rsidRPr="00637C10">
        <w:rPr>
          <w:rFonts w:ascii="Tahoma" w:hAnsi="Tahoma" w:cs="Tahoma"/>
          <w:sz w:val="20"/>
          <w:szCs w:val="20"/>
        </w:rPr>
        <w:t xml:space="preserve"> νομοθεσίας·</w:t>
      </w:r>
    </w:p>
    <w:p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w:t>
      </w:r>
      <w:r w:rsidR="00AF64AE" w:rsidRPr="00637C10">
        <w:rPr>
          <w:rFonts w:ascii="Tahoma" w:hAnsi="Tahoma" w:cs="Tahoma"/>
          <w:sz w:val="20"/>
          <w:szCs w:val="20"/>
        </w:rPr>
        <w:t xml:space="preserve">ι απαλλασσόμενες ενισχύσεις μπορούν να σωρευθούν με οποιεσδήποτε άλλες κρατικές ενισχύσεις, εάν πρόκειται για διαφορετικές </w:t>
      </w:r>
      <w:proofErr w:type="spellStart"/>
      <w:r w:rsidR="00AF64AE" w:rsidRPr="00637C10">
        <w:rPr>
          <w:rFonts w:ascii="Tahoma" w:hAnsi="Tahoma" w:cs="Tahoma"/>
          <w:sz w:val="20"/>
          <w:szCs w:val="20"/>
        </w:rPr>
        <w:t>προσδιορίσιμες</w:t>
      </w:r>
      <w:proofErr w:type="spellEnd"/>
      <w:r w:rsidR="00AF64AE" w:rsidRPr="00637C10">
        <w:rPr>
          <w:rFonts w:ascii="Tahoma" w:hAnsi="Tahoma" w:cs="Tahoma"/>
          <w:sz w:val="20"/>
          <w:szCs w:val="20"/>
        </w:rPr>
        <w:t xml:space="preserve"> </w:t>
      </w:r>
      <w:r w:rsidR="00085B1B">
        <w:rPr>
          <w:rFonts w:ascii="Tahoma" w:hAnsi="Tahoma" w:cs="Tahoma"/>
          <w:sz w:val="20"/>
          <w:szCs w:val="20"/>
        </w:rPr>
        <w:t xml:space="preserve">επιλέξιμες </w:t>
      </w:r>
      <w:r w:rsidR="00AF64AE" w:rsidRPr="00637C10">
        <w:rPr>
          <w:rFonts w:ascii="Tahoma" w:hAnsi="Tahoma" w:cs="Tahoma"/>
          <w:sz w:val="20"/>
          <w:szCs w:val="20"/>
        </w:rPr>
        <w:t>δαπάνες·</w:t>
      </w:r>
    </w:p>
    <w:p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Δ</w:t>
      </w:r>
      <w:r w:rsidR="00AF64AE" w:rsidRPr="00637C10">
        <w:rPr>
          <w:rFonts w:ascii="Tahoma" w:hAnsi="Tahoma" w:cs="Tahoma"/>
          <w:sz w:val="20"/>
          <w:szCs w:val="20"/>
        </w:rPr>
        <w:t>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p>
    <w:p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w:t>
      </w:r>
      <w:r w:rsidR="00AF64AE" w:rsidRPr="00637C10">
        <w:rPr>
          <w:rFonts w:ascii="Tahoma" w:hAnsi="Tahoma" w:cs="Tahoma"/>
          <w:sz w:val="20"/>
          <w:szCs w:val="20"/>
        </w:rPr>
        <w:t>ι κρατικές ενισχύσεις που τυγχάνουν απαλλαγής δυνάμει του ΓΑΚ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ΓΑΚ.</w:t>
      </w:r>
    </w:p>
    <w:p w:rsidR="00AF64AE" w:rsidRDefault="00AF64AE" w:rsidP="005249E2">
      <w:pPr>
        <w:spacing w:after="120" w:line="240" w:lineRule="auto"/>
        <w:ind w:left="360"/>
        <w:jc w:val="both"/>
        <w:rPr>
          <w:rFonts w:ascii="Tahoma" w:hAnsi="Tahoma" w:cs="Tahoma"/>
          <w:sz w:val="20"/>
          <w:szCs w:val="20"/>
        </w:rPr>
      </w:pPr>
      <w:r w:rsidRPr="00637C10">
        <w:rPr>
          <w:rFonts w:ascii="Tahoma" w:hAnsi="Tahoma" w:cs="Tahoma"/>
          <w:sz w:val="20"/>
          <w:szCs w:val="20"/>
        </w:rPr>
        <w:t>Οι ανωτέρω υποχρεώσεις θα επιβεβαιώνονται κατά την αξιολόγηση των προτάσεων και την καταβολή των ενισχύσεων.</w:t>
      </w:r>
    </w:p>
    <w:p w:rsidR="00DB5B7B" w:rsidRPr="00637C10" w:rsidRDefault="00DB5B7B" w:rsidP="00637C10">
      <w:pPr>
        <w:spacing w:after="120" w:line="240" w:lineRule="auto"/>
        <w:jc w:val="both"/>
        <w:rPr>
          <w:rFonts w:ascii="Tahoma" w:hAnsi="Tahoma" w:cs="Tahoma"/>
          <w:sz w:val="20"/>
          <w:szCs w:val="20"/>
        </w:rPr>
      </w:pP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lastRenderedPageBreak/>
        <w:t>Δημοσίευση και πληροφορίες - Υποβολή εκθέσεων</w:t>
      </w:r>
    </w:p>
    <w:p w:rsidR="00AF64AE" w:rsidRPr="00637C10" w:rsidRDefault="00AF64AE" w:rsidP="00637C10">
      <w:pPr>
        <w:spacing w:after="120" w:line="240" w:lineRule="auto"/>
        <w:jc w:val="both"/>
        <w:rPr>
          <w:rFonts w:ascii="Tahoma" w:hAnsi="Tahoma" w:cs="Tahoma"/>
          <w:sz w:val="20"/>
          <w:szCs w:val="20"/>
        </w:rPr>
      </w:pPr>
      <w:r w:rsidRPr="00637C10">
        <w:rPr>
          <w:rFonts w:ascii="Tahoma" w:hAnsi="Tahoma" w:cs="Tahoma"/>
          <w:sz w:val="20"/>
          <w:szCs w:val="20"/>
        </w:rPr>
        <w:t xml:space="preserve">Η </w:t>
      </w:r>
      <w:r w:rsidR="00EC0C03" w:rsidRPr="00637C10">
        <w:rPr>
          <w:rFonts w:ascii="Tahoma" w:hAnsi="Tahoma" w:cs="Tahoma"/>
          <w:sz w:val="20"/>
          <w:szCs w:val="20"/>
        </w:rPr>
        <w:t>Δ.Α.</w:t>
      </w:r>
      <w:r w:rsidRPr="00637C10">
        <w:rPr>
          <w:rFonts w:ascii="Tahoma" w:hAnsi="Tahoma" w:cs="Tahoma"/>
          <w:sz w:val="20"/>
          <w:szCs w:val="20"/>
        </w:rPr>
        <w:t xml:space="preserve"> έχει υποχρέωση</w:t>
      </w:r>
      <w:r w:rsidR="00791D55" w:rsidRPr="00637C10">
        <w:rPr>
          <w:rFonts w:ascii="Tahoma" w:hAnsi="Tahoma" w:cs="Tahoma"/>
          <w:sz w:val="20"/>
          <w:szCs w:val="20"/>
        </w:rPr>
        <w:t xml:space="preserve"> δημοσίευσης στο </w:t>
      </w:r>
      <w:r w:rsidRPr="00637C10">
        <w:rPr>
          <w:rFonts w:ascii="Tahoma" w:hAnsi="Tahoma" w:cs="Tahoma"/>
          <w:sz w:val="20"/>
          <w:szCs w:val="20"/>
        </w:rPr>
        <w:t>δικτυακό τόπο για τις κρατικές ενισχύσεις, σε εθνικό ή περιφερειακό επίπεδο, τα εξής:</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α) συνοπτικές πληροφορίες ή σύνδεσμο που παρέχει πρόσβαση σε αυτές·</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β) το πλήρες κείμενο κάθε μέτρου ενίσχυσης ή σύνδεσμο που παρέχει πρόσβαση στο πλήρες κείμενο·</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γ) πληροφορίες για κάθε χορήγηση μεμονωμένης ενίσχυσης που υπερβαίνει τα 500 000 ευρώ.</w:t>
      </w:r>
    </w:p>
    <w:p w:rsidR="003549ED" w:rsidRDefault="00AF64AE" w:rsidP="00637C10">
      <w:pPr>
        <w:spacing w:after="120" w:line="240" w:lineRule="auto"/>
        <w:jc w:val="both"/>
        <w:rPr>
          <w:rFonts w:ascii="Tahoma" w:hAnsi="Tahoma" w:cs="Tahoma"/>
          <w:sz w:val="20"/>
          <w:szCs w:val="20"/>
        </w:rPr>
      </w:pPr>
      <w:r w:rsidRPr="00637C10">
        <w:rPr>
          <w:rFonts w:ascii="Tahoma" w:hAnsi="Tahoma" w:cs="Tahoma"/>
          <w:sz w:val="20"/>
          <w:szCs w:val="20"/>
        </w:rPr>
        <w:t>Ο δικαιούχος έχει υποχρέωση να αποδεχθεί τη δημοσίευ</w:t>
      </w:r>
      <w:r w:rsidR="00C06212" w:rsidRPr="00637C10">
        <w:rPr>
          <w:rFonts w:ascii="Tahoma" w:hAnsi="Tahoma" w:cs="Tahoma"/>
          <w:sz w:val="20"/>
          <w:szCs w:val="20"/>
        </w:rPr>
        <w:t xml:space="preserve">ση των στοιχείων του σημείου γ) </w:t>
      </w:r>
    </w:p>
    <w:p w:rsidR="00147C71" w:rsidRDefault="00147C71" w:rsidP="00637C10">
      <w:pPr>
        <w:pStyle w:val="BodyText21"/>
        <w:spacing w:after="120" w:line="240" w:lineRule="auto"/>
        <w:ind w:right="26"/>
        <w:outlineLvl w:val="0"/>
        <w:rPr>
          <w:rFonts w:ascii="Tahoma" w:hAnsi="Tahoma" w:cs="Tahoma"/>
          <w:b/>
          <w:sz w:val="20"/>
        </w:rPr>
      </w:pPr>
      <w:bookmarkStart w:id="0" w:name="_GoBack"/>
      <w:bookmarkEnd w:id="0"/>
    </w:p>
    <w:sectPr w:rsidR="00147C71" w:rsidSect="00145D10">
      <w:headerReference w:type="default" r:id="rId9"/>
      <w:footerReference w:type="default" r:id="rId10"/>
      <w:pgSz w:w="11907" w:h="16840" w:code="9"/>
      <w:pgMar w:top="1418" w:right="1559" w:bottom="993" w:left="1134" w:header="425" w:footer="1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A52" w:rsidRDefault="001E1A52">
      <w:pPr>
        <w:spacing w:after="0" w:line="240" w:lineRule="auto"/>
      </w:pPr>
      <w:r>
        <w:separator/>
      </w:r>
    </w:p>
  </w:endnote>
  <w:endnote w:type="continuationSeparator" w:id="0">
    <w:p w:rsidR="001E1A52" w:rsidRDefault="001E1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9" w:type="dxa"/>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4D7F17" w:rsidTr="00506DDE">
      <w:trPr>
        <w:trHeight w:val="1301"/>
      </w:trPr>
      <w:tc>
        <w:tcPr>
          <w:tcW w:w="2402" w:type="dxa"/>
          <w:shd w:val="clear" w:color="auto" w:fill="FFFFFF"/>
        </w:tcPr>
        <w:p w:rsidR="004D7F17" w:rsidRDefault="004D7F17">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47EB9E8F" wp14:editId="352EA732">
                <wp:extent cx="676275" cy="428625"/>
                <wp:effectExtent l="0" t="0" r="9525" b="9525"/>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rsidR="004D7F17" w:rsidRPr="00B55C10"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rsidR="004D7F17"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Ταμείο Συνοχής</w:t>
          </w:r>
        </w:p>
      </w:tc>
      <w:tc>
        <w:tcPr>
          <w:tcW w:w="2054"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481"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622" w:type="dxa"/>
          <w:shd w:val="clear" w:color="auto" w:fill="FFFFFF"/>
        </w:tcPr>
        <w:p w:rsidR="004D7F17" w:rsidRDefault="004D7F17">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14:anchorId="59D0FB6F" wp14:editId="414ABC19">
                <wp:extent cx="990600" cy="59055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r w:rsidR="004D7F17" w:rsidTr="001327C7">
      <w:trPr>
        <w:trHeight w:val="392"/>
      </w:trPr>
      <w:tc>
        <w:tcPr>
          <w:tcW w:w="9559" w:type="dxa"/>
          <w:gridSpan w:val="4"/>
          <w:shd w:val="clear" w:color="auto" w:fill="FFFFFF"/>
          <w:vAlign w:val="center"/>
        </w:tcPr>
        <w:p w:rsidR="004D7F17" w:rsidRPr="00506DDE" w:rsidRDefault="004D7F17" w:rsidP="00F25B58">
          <w:pPr>
            <w:widowControl w:val="0"/>
            <w:autoSpaceDE w:val="0"/>
            <w:autoSpaceDN w:val="0"/>
            <w:adjustRightInd w:val="0"/>
            <w:spacing w:after="0" w:line="240" w:lineRule="auto"/>
            <w:jc w:val="right"/>
            <w:rPr>
              <w:rFonts w:cs="Tahoma"/>
              <w:bCs/>
              <w:color w:val="000000"/>
              <w:sz w:val="16"/>
              <w:szCs w:val="16"/>
            </w:rPr>
          </w:pPr>
          <w:r>
            <w:rPr>
              <w:rFonts w:cs="Tahoma"/>
              <w:bCs/>
              <w:color w:val="000000"/>
              <w:sz w:val="16"/>
              <w:szCs w:val="16"/>
            </w:rPr>
            <w:t xml:space="preserve">                                                                        Σελίδα </w:t>
          </w:r>
          <w:r w:rsidR="0045136E">
            <w:rPr>
              <w:rFonts w:cs="Tahoma"/>
              <w:bCs/>
              <w:color w:val="000000"/>
              <w:sz w:val="16"/>
              <w:szCs w:val="16"/>
            </w:rPr>
            <w:fldChar w:fldCharType="begin"/>
          </w:r>
          <w:r>
            <w:rPr>
              <w:rFonts w:cs="Tahoma"/>
              <w:bCs/>
              <w:color w:val="000000"/>
              <w:sz w:val="16"/>
              <w:szCs w:val="16"/>
            </w:rPr>
            <w:instrText xml:space="preserve"> PAGE  \* Arabic  \* MERGEFORMAT </w:instrText>
          </w:r>
          <w:r w:rsidR="0045136E">
            <w:rPr>
              <w:rFonts w:cs="Tahoma"/>
              <w:bCs/>
              <w:color w:val="000000"/>
              <w:sz w:val="16"/>
              <w:szCs w:val="16"/>
            </w:rPr>
            <w:fldChar w:fldCharType="separate"/>
          </w:r>
          <w:r w:rsidR="00267A11">
            <w:rPr>
              <w:rFonts w:cs="Tahoma"/>
              <w:bCs/>
              <w:noProof/>
              <w:color w:val="000000"/>
              <w:sz w:val="16"/>
              <w:szCs w:val="16"/>
            </w:rPr>
            <w:t>1</w:t>
          </w:r>
          <w:r w:rsidR="0045136E">
            <w:rPr>
              <w:rFonts w:cs="Tahoma"/>
              <w:bCs/>
              <w:color w:val="000000"/>
              <w:sz w:val="16"/>
              <w:szCs w:val="16"/>
            </w:rPr>
            <w:fldChar w:fldCharType="end"/>
          </w:r>
        </w:p>
      </w:tc>
    </w:tr>
  </w:tbl>
  <w:p w:rsidR="004D7F17" w:rsidRDefault="004D7F17"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A52" w:rsidRDefault="001E1A52">
      <w:pPr>
        <w:spacing w:after="0" w:line="240" w:lineRule="auto"/>
      </w:pPr>
      <w:r>
        <w:separator/>
      </w:r>
    </w:p>
  </w:footnote>
  <w:footnote w:type="continuationSeparator" w:id="0">
    <w:p w:rsidR="001E1A52" w:rsidRDefault="001E1A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F17" w:rsidRDefault="004D7F17">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433F"/>
    <w:multiLevelType w:val="hybridMultilevel"/>
    <w:tmpl w:val="32429B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07B19EA"/>
    <w:multiLevelType w:val="hybridMultilevel"/>
    <w:tmpl w:val="AFACFA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2B91837"/>
    <w:multiLevelType w:val="hybridMultilevel"/>
    <w:tmpl w:val="2312C8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03E63E4A"/>
    <w:multiLevelType w:val="hybridMultilevel"/>
    <w:tmpl w:val="9DCAE93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05B50FFE"/>
    <w:multiLevelType w:val="hybridMultilevel"/>
    <w:tmpl w:val="85E061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2590EA9"/>
    <w:multiLevelType w:val="hybridMultilevel"/>
    <w:tmpl w:val="2FC287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7B0AB8"/>
    <w:multiLevelType w:val="hybridMultilevel"/>
    <w:tmpl w:val="B06CC218"/>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2371678F"/>
    <w:multiLevelType w:val="hybridMultilevel"/>
    <w:tmpl w:val="2A0694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6A3707F"/>
    <w:multiLevelType w:val="hybridMultilevel"/>
    <w:tmpl w:val="272C0520"/>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2ADF6FB2"/>
    <w:multiLevelType w:val="hybridMultilevel"/>
    <w:tmpl w:val="475CF204"/>
    <w:lvl w:ilvl="0" w:tplc="08090019">
      <w:start w:val="1"/>
      <w:numFmt w:val="lowerLetter"/>
      <w:lvlText w:val="%1."/>
      <w:lvlJc w:val="left"/>
      <w:pPr>
        <w:ind w:left="720" w:hanging="360"/>
      </w:pPr>
    </w:lvl>
    <w:lvl w:ilvl="1" w:tplc="4A3C6882">
      <w:start w:val="1"/>
      <w:numFmt w:val="lowerRoman"/>
      <w:lvlText w:val="(%2)"/>
      <w:lvlJc w:val="left"/>
      <w:pPr>
        <w:ind w:left="1800" w:hanging="72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2EAB024C"/>
    <w:multiLevelType w:val="hybridMultilevel"/>
    <w:tmpl w:val="08C6FB38"/>
    <w:lvl w:ilvl="0" w:tplc="0408000F">
      <w:start w:val="1"/>
      <w:numFmt w:val="decimal"/>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2F8B19EA"/>
    <w:multiLevelType w:val="hybridMultilevel"/>
    <w:tmpl w:val="94F613B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30420C27"/>
    <w:multiLevelType w:val="hybridMultilevel"/>
    <w:tmpl w:val="E554719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13">
    <w:nsid w:val="38D90D80"/>
    <w:multiLevelType w:val="hybridMultilevel"/>
    <w:tmpl w:val="2180814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nsid w:val="3C3D3A77"/>
    <w:multiLevelType w:val="hybridMultilevel"/>
    <w:tmpl w:val="3404DE20"/>
    <w:lvl w:ilvl="0" w:tplc="9C04AAEE">
      <w:numFmt w:val="bullet"/>
      <w:lvlText w:val="-"/>
      <w:lvlJc w:val="left"/>
      <w:pPr>
        <w:ind w:left="1440" w:hanging="360"/>
      </w:pPr>
      <w:rPr>
        <w:rFonts w:ascii="Times New Roman" w:eastAsia="Times New Roman" w:hAnsi="Times New Roman"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nsid w:val="451049CD"/>
    <w:multiLevelType w:val="hybridMultilevel"/>
    <w:tmpl w:val="0928A9C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6F43394"/>
    <w:multiLevelType w:val="hybridMultilevel"/>
    <w:tmpl w:val="C09EF5F4"/>
    <w:lvl w:ilvl="0" w:tplc="08090019">
      <w:start w:val="1"/>
      <w:numFmt w:val="lowerLetter"/>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4D126A41"/>
    <w:multiLevelType w:val="hybridMultilevel"/>
    <w:tmpl w:val="4148F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nsid w:val="51F27066"/>
    <w:multiLevelType w:val="hybridMultilevel"/>
    <w:tmpl w:val="9B80164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52706253"/>
    <w:multiLevelType w:val="hybridMultilevel"/>
    <w:tmpl w:val="8714773A"/>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5B7C7E18"/>
    <w:multiLevelType w:val="hybridMultilevel"/>
    <w:tmpl w:val="597682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D083B05"/>
    <w:multiLevelType w:val="hybridMultilevel"/>
    <w:tmpl w:val="D3CCEE64"/>
    <w:lvl w:ilvl="0" w:tplc="0ECCE3F2">
      <w:start w:val="1"/>
      <w:numFmt w:val="bullet"/>
      <w:lvlText w:val="-"/>
      <w:lvlJc w:val="left"/>
      <w:pPr>
        <w:tabs>
          <w:tab w:val="num" w:pos="720"/>
        </w:tabs>
        <w:ind w:left="720" w:hanging="360"/>
      </w:pPr>
      <w:rPr>
        <w:rFonts w:ascii="Courier New" w:hAnsi="Courier New"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2">
    <w:nsid w:val="5FB4363B"/>
    <w:multiLevelType w:val="hybridMultilevel"/>
    <w:tmpl w:val="578066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3B569EC"/>
    <w:multiLevelType w:val="hybridMultilevel"/>
    <w:tmpl w:val="68E2FD24"/>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nsid w:val="649045F1"/>
    <w:multiLevelType w:val="hybridMultilevel"/>
    <w:tmpl w:val="C89A68C0"/>
    <w:lvl w:ilvl="0" w:tplc="0ECCE3F2">
      <w:start w:val="1"/>
      <w:numFmt w:val="bullet"/>
      <w:lvlText w:val="-"/>
      <w:lvlJc w:val="left"/>
      <w:pPr>
        <w:tabs>
          <w:tab w:val="num" w:pos="720"/>
        </w:tabs>
        <w:ind w:left="720" w:hanging="360"/>
      </w:pPr>
      <w:rPr>
        <w:rFonts w:ascii="Courier New" w:hAnsi="Courier New"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nsid w:val="650842CC"/>
    <w:multiLevelType w:val="hybridMultilevel"/>
    <w:tmpl w:val="2180814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52E53CB"/>
    <w:multiLevelType w:val="hybridMultilevel"/>
    <w:tmpl w:val="B55C3304"/>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nsid w:val="68D8731A"/>
    <w:multiLevelType w:val="hybridMultilevel"/>
    <w:tmpl w:val="1A5801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B3220B7"/>
    <w:multiLevelType w:val="hybridMultilevel"/>
    <w:tmpl w:val="8E46B87C"/>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nsid w:val="70972865"/>
    <w:multiLevelType w:val="hybridMultilevel"/>
    <w:tmpl w:val="EE2EEF2E"/>
    <w:lvl w:ilvl="0" w:tplc="9C04AAEE">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0">
    <w:nsid w:val="7D6278C9"/>
    <w:multiLevelType w:val="hybridMultilevel"/>
    <w:tmpl w:val="27984D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E2D5467"/>
    <w:multiLevelType w:val="hybridMultilevel"/>
    <w:tmpl w:val="FBD2574C"/>
    <w:lvl w:ilvl="0" w:tplc="9C04AAEE">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EA95B16"/>
    <w:multiLevelType w:val="hybridMultilevel"/>
    <w:tmpl w:val="59B838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F2514F1"/>
    <w:multiLevelType w:val="hybridMultilevel"/>
    <w:tmpl w:val="362A76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1"/>
  </w:num>
  <w:num w:numId="2">
    <w:abstractNumId w:val="25"/>
  </w:num>
  <w:num w:numId="3">
    <w:abstractNumId w:val="2"/>
  </w:num>
  <w:num w:numId="4">
    <w:abstractNumId w:val="16"/>
    <w:lvlOverride w:ilvl="0">
      <w:startOverride w:val="1"/>
    </w:lvlOverride>
    <w:lvlOverride w:ilvl="1"/>
    <w:lvlOverride w:ilvl="2"/>
    <w:lvlOverride w:ilvl="3"/>
    <w:lvlOverride w:ilvl="4"/>
    <w:lvlOverride w:ilvl="5"/>
    <w:lvlOverride w:ilvl="6"/>
    <w:lvlOverride w:ilvl="7"/>
    <w:lvlOverride w:ilvl="8"/>
  </w:num>
  <w:num w:numId="5">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8"/>
  </w:num>
  <w:num w:numId="7">
    <w:abstractNumId w:val="33"/>
  </w:num>
  <w:num w:numId="8">
    <w:abstractNumId w:val="12"/>
  </w:num>
  <w:num w:numId="9">
    <w:abstractNumId w:val="24"/>
  </w:num>
  <w:num w:numId="10">
    <w:abstractNumId w:val="23"/>
  </w:num>
  <w:num w:numId="11">
    <w:abstractNumId w:val="21"/>
  </w:num>
  <w:num w:numId="12">
    <w:abstractNumId w:val="6"/>
  </w:num>
  <w:num w:numId="13">
    <w:abstractNumId w:val="28"/>
  </w:num>
  <w:num w:numId="14">
    <w:abstractNumId w:val="26"/>
  </w:num>
  <w:num w:numId="15">
    <w:abstractNumId w:val="17"/>
  </w:num>
  <w:num w:numId="16">
    <w:abstractNumId w:val="14"/>
  </w:num>
  <w:num w:numId="17">
    <w:abstractNumId w:val="18"/>
  </w:num>
  <w:num w:numId="18">
    <w:abstractNumId w:val="29"/>
  </w:num>
  <w:num w:numId="19">
    <w:abstractNumId w:val="19"/>
  </w:num>
  <w:num w:numId="20">
    <w:abstractNumId w:val="0"/>
  </w:num>
  <w:num w:numId="21">
    <w:abstractNumId w:val="22"/>
  </w:num>
  <w:num w:numId="22">
    <w:abstractNumId w:val="15"/>
  </w:num>
  <w:num w:numId="23">
    <w:abstractNumId w:val="11"/>
  </w:num>
  <w:num w:numId="24">
    <w:abstractNumId w:val="32"/>
  </w:num>
  <w:num w:numId="25">
    <w:abstractNumId w:val="10"/>
  </w:num>
  <w:num w:numId="26">
    <w:abstractNumId w:val="5"/>
  </w:num>
  <w:num w:numId="27">
    <w:abstractNumId w:val="4"/>
  </w:num>
  <w:num w:numId="28">
    <w:abstractNumId w:val="30"/>
  </w:num>
  <w:num w:numId="29">
    <w:abstractNumId w:val="20"/>
  </w:num>
  <w:num w:numId="30">
    <w:abstractNumId w:val="7"/>
  </w:num>
  <w:num w:numId="31">
    <w:abstractNumId w:val="13"/>
  </w:num>
  <w:num w:numId="32">
    <w:abstractNumId w:val="27"/>
  </w:num>
  <w:num w:numId="33">
    <w:abstractNumId w:val="3"/>
  </w:num>
  <w:num w:numId="3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44A"/>
    <w:rsid w:val="00002496"/>
    <w:rsid w:val="00002E0B"/>
    <w:rsid w:val="00003E17"/>
    <w:rsid w:val="00005840"/>
    <w:rsid w:val="00005854"/>
    <w:rsid w:val="000114B8"/>
    <w:rsid w:val="00011F1A"/>
    <w:rsid w:val="000129D1"/>
    <w:rsid w:val="00012C5B"/>
    <w:rsid w:val="00013D9E"/>
    <w:rsid w:val="00015F72"/>
    <w:rsid w:val="00022720"/>
    <w:rsid w:val="00022DD3"/>
    <w:rsid w:val="00022E59"/>
    <w:rsid w:val="000251AD"/>
    <w:rsid w:val="000259E6"/>
    <w:rsid w:val="00025B97"/>
    <w:rsid w:val="000329D2"/>
    <w:rsid w:val="000339A7"/>
    <w:rsid w:val="00033B9A"/>
    <w:rsid w:val="00034B04"/>
    <w:rsid w:val="000356C6"/>
    <w:rsid w:val="00036460"/>
    <w:rsid w:val="00037106"/>
    <w:rsid w:val="000378A7"/>
    <w:rsid w:val="00037E2E"/>
    <w:rsid w:val="000405BC"/>
    <w:rsid w:val="00041891"/>
    <w:rsid w:val="00041CDE"/>
    <w:rsid w:val="00042FC8"/>
    <w:rsid w:val="00044851"/>
    <w:rsid w:val="000453A1"/>
    <w:rsid w:val="00050177"/>
    <w:rsid w:val="000544C9"/>
    <w:rsid w:val="000550C8"/>
    <w:rsid w:val="0005645E"/>
    <w:rsid w:val="00057DB6"/>
    <w:rsid w:val="00062A93"/>
    <w:rsid w:val="0006450B"/>
    <w:rsid w:val="000645A7"/>
    <w:rsid w:val="00065052"/>
    <w:rsid w:val="00065B16"/>
    <w:rsid w:val="000661A7"/>
    <w:rsid w:val="0006642F"/>
    <w:rsid w:val="0006662F"/>
    <w:rsid w:val="000717A8"/>
    <w:rsid w:val="00071FD9"/>
    <w:rsid w:val="00072C8A"/>
    <w:rsid w:val="00075F4B"/>
    <w:rsid w:val="0008194B"/>
    <w:rsid w:val="00083A7A"/>
    <w:rsid w:val="000852EF"/>
    <w:rsid w:val="00085B1B"/>
    <w:rsid w:val="00091A33"/>
    <w:rsid w:val="000960B7"/>
    <w:rsid w:val="0009739A"/>
    <w:rsid w:val="00097D31"/>
    <w:rsid w:val="00097E88"/>
    <w:rsid w:val="000A2066"/>
    <w:rsid w:val="000A634C"/>
    <w:rsid w:val="000A6797"/>
    <w:rsid w:val="000B0742"/>
    <w:rsid w:val="000B16FB"/>
    <w:rsid w:val="000B2F18"/>
    <w:rsid w:val="000B4DA8"/>
    <w:rsid w:val="000B601D"/>
    <w:rsid w:val="000C30C2"/>
    <w:rsid w:val="000C3A43"/>
    <w:rsid w:val="000C7EC1"/>
    <w:rsid w:val="000D2A6C"/>
    <w:rsid w:val="000D733E"/>
    <w:rsid w:val="000E1054"/>
    <w:rsid w:val="000E1345"/>
    <w:rsid w:val="000E4E74"/>
    <w:rsid w:val="000E4F1F"/>
    <w:rsid w:val="000F077C"/>
    <w:rsid w:val="000F152C"/>
    <w:rsid w:val="000F29CC"/>
    <w:rsid w:val="000F2EA5"/>
    <w:rsid w:val="000F4CE6"/>
    <w:rsid w:val="000F4F56"/>
    <w:rsid w:val="000F6D47"/>
    <w:rsid w:val="001008D4"/>
    <w:rsid w:val="00102308"/>
    <w:rsid w:val="001027FC"/>
    <w:rsid w:val="0010475F"/>
    <w:rsid w:val="00106BD2"/>
    <w:rsid w:val="00107903"/>
    <w:rsid w:val="00107D0E"/>
    <w:rsid w:val="00110541"/>
    <w:rsid w:val="00120074"/>
    <w:rsid w:val="00122815"/>
    <w:rsid w:val="001248BA"/>
    <w:rsid w:val="0013040E"/>
    <w:rsid w:val="00131CB4"/>
    <w:rsid w:val="0013267E"/>
    <w:rsid w:val="001327C7"/>
    <w:rsid w:val="00132A54"/>
    <w:rsid w:val="00134FE4"/>
    <w:rsid w:val="0013556D"/>
    <w:rsid w:val="00136DBA"/>
    <w:rsid w:val="00137C8E"/>
    <w:rsid w:val="00140D66"/>
    <w:rsid w:val="00143DD0"/>
    <w:rsid w:val="00144445"/>
    <w:rsid w:val="00145D10"/>
    <w:rsid w:val="001469E7"/>
    <w:rsid w:val="00147C71"/>
    <w:rsid w:val="00151E31"/>
    <w:rsid w:val="00154ACE"/>
    <w:rsid w:val="00156783"/>
    <w:rsid w:val="00160740"/>
    <w:rsid w:val="00161921"/>
    <w:rsid w:val="001627EE"/>
    <w:rsid w:val="00162853"/>
    <w:rsid w:val="00166D9C"/>
    <w:rsid w:val="00167259"/>
    <w:rsid w:val="0017086B"/>
    <w:rsid w:val="001717B8"/>
    <w:rsid w:val="00174BF0"/>
    <w:rsid w:val="001763EC"/>
    <w:rsid w:val="00176673"/>
    <w:rsid w:val="00176873"/>
    <w:rsid w:val="0018034E"/>
    <w:rsid w:val="00181CF4"/>
    <w:rsid w:val="0018272D"/>
    <w:rsid w:val="001873F3"/>
    <w:rsid w:val="00187898"/>
    <w:rsid w:val="00190B4B"/>
    <w:rsid w:val="00191250"/>
    <w:rsid w:val="00191862"/>
    <w:rsid w:val="00192DF6"/>
    <w:rsid w:val="001937A9"/>
    <w:rsid w:val="00196058"/>
    <w:rsid w:val="00196821"/>
    <w:rsid w:val="001971BB"/>
    <w:rsid w:val="00197E48"/>
    <w:rsid w:val="001A3E22"/>
    <w:rsid w:val="001A69A4"/>
    <w:rsid w:val="001B0862"/>
    <w:rsid w:val="001B3844"/>
    <w:rsid w:val="001B3CD0"/>
    <w:rsid w:val="001C0E37"/>
    <w:rsid w:val="001C1DBE"/>
    <w:rsid w:val="001C3780"/>
    <w:rsid w:val="001C7323"/>
    <w:rsid w:val="001D328D"/>
    <w:rsid w:val="001D643D"/>
    <w:rsid w:val="001D6FAB"/>
    <w:rsid w:val="001D7414"/>
    <w:rsid w:val="001E1A52"/>
    <w:rsid w:val="001F02BD"/>
    <w:rsid w:val="001F2C7D"/>
    <w:rsid w:val="001F2CCF"/>
    <w:rsid w:val="001F5186"/>
    <w:rsid w:val="001F53DA"/>
    <w:rsid w:val="001F5691"/>
    <w:rsid w:val="001F5DD3"/>
    <w:rsid w:val="001F6B5B"/>
    <w:rsid w:val="001F7D30"/>
    <w:rsid w:val="00200310"/>
    <w:rsid w:val="00200FB8"/>
    <w:rsid w:val="002017B3"/>
    <w:rsid w:val="00202823"/>
    <w:rsid w:val="0020431E"/>
    <w:rsid w:val="00207727"/>
    <w:rsid w:val="002146C6"/>
    <w:rsid w:val="00217A17"/>
    <w:rsid w:val="002211DB"/>
    <w:rsid w:val="00221374"/>
    <w:rsid w:val="00222760"/>
    <w:rsid w:val="0022591C"/>
    <w:rsid w:val="00226A7A"/>
    <w:rsid w:val="00230D32"/>
    <w:rsid w:val="0024089C"/>
    <w:rsid w:val="002440EC"/>
    <w:rsid w:val="0024436C"/>
    <w:rsid w:val="00250309"/>
    <w:rsid w:val="00251A36"/>
    <w:rsid w:val="00251B4A"/>
    <w:rsid w:val="0025398F"/>
    <w:rsid w:val="002549D2"/>
    <w:rsid w:val="00260EB8"/>
    <w:rsid w:val="002623E9"/>
    <w:rsid w:val="0026289F"/>
    <w:rsid w:val="00264E7F"/>
    <w:rsid w:val="00265B04"/>
    <w:rsid w:val="00266103"/>
    <w:rsid w:val="00267A11"/>
    <w:rsid w:val="0027433A"/>
    <w:rsid w:val="00274E15"/>
    <w:rsid w:val="0028193E"/>
    <w:rsid w:val="0028362D"/>
    <w:rsid w:val="002862A8"/>
    <w:rsid w:val="00293A87"/>
    <w:rsid w:val="00296BAA"/>
    <w:rsid w:val="00297463"/>
    <w:rsid w:val="002A0555"/>
    <w:rsid w:val="002A16DE"/>
    <w:rsid w:val="002A3C6C"/>
    <w:rsid w:val="002A7048"/>
    <w:rsid w:val="002A71E8"/>
    <w:rsid w:val="002B0D7F"/>
    <w:rsid w:val="002B2D8A"/>
    <w:rsid w:val="002B4CD0"/>
    <w:rsid w:val="002B693D"/>
    <w:rsid w:val="002C13C4"/>
    <w:rsid w:val="002C2256"/>
    <w:rsid w:val="002C35D1"/>
    <w:rsid w:val="002C3C72"/>
    <w:rsid w:val="002C4599"/>
    <w:rsid w:val="002C652A"/>
    <w:rsid w:val="002C707E"/>
    <w:rsid w:val="002D0FCF"/>
    <w:rsid w:val="002D55EB"/>
    <w:rsid w:val="002D5655"/>
    <w:rsid w:val="002D569F"/>
    <w:rsid w:val="002D6FB5"/>
    <w:rsid w:val="002D78B0"/>
    <w:rsid w:val="002E0C94"/>
    <w:rsid w:val="002E0FDE"/>
    <w:rsid w:val="002E29EB"/>
    <w:rsid w:val="002E3893"/>
    <w:rsid w:val="002E4710"/>
    <w:rsid w:val="002E527C"/>
    <w:rsid w:val="002E53C3"/>
    <w:rsid w:val="002E66CE"/>
    <w:rsid w:val="002E70CB"/>
    <w:rsid w:val="002F1453"/>
    <w:rsid w:val="002F1BB4"/>
    <w:rsid w:val="002F1E39"/>
    <w:rsid w:val="002F20AF"/>
    <w:rsid w:val="002F2FA4"/>
    <w:rsid w:val="002F34B5"/>
    <w:rsid w:val="002F5324"/>
    <w:rsid w:val="002F5995"/>
    <w:rsid w:val="003028E4"/>
    <w:rsid w:val="00303A09"/>
    <w:rsid w:val="00304775"/>
    <w:rsid w:val="0030498A"/>
    <w:rsid w:val="00306CEE"/>
    <w:rsid w:val="00307A83"/>
    <w:rsid w:val="00310042"/>
    <w:rsid w:val="00313779"/>
    <w:rsid w:val="00313C5B"/>
    <w:rsid w:val="00315331"/>
    <w:rsid w:val="00315AC4"/>
    <w:rsid w:val="00315FF4"/>
    <w:rsid w:val="00316DDE"/>
    <w:rsid w:val="00320A2F"/>
    <w:rsid w:val="00320E77"/>
    <w:rsid w:val="0032133E"/>
    <w:rsid w:val="00323FDC"/>
    <w:rsid w:val="003247D0"/>
    <w:rsid w:val="0032655B"/>
    <w:rsid w:val="00331500"/>
    <w:rsid w:val="0033308D"/>
    <w:rsid w:val="0033533B"/>
    <w:rsid w:val="00340B7D"/>
    <w:rsid w:val="003446EE"/>
    <w:rsid w:val="003463F2"/>
    <w:rsid w:val="003475F0"/>
    <w:rsid w:val="00351690"/>
    <w:rsid w:val="003549ED"/>
    <w:rsid w:val="00355A4B"/>
    <w:rsid w:val="00355E0B"/>
    <w:rsid w:val="00356EA9"/>
    <w:rsid w:val="00361FB8"/>
    <w:rsid w:val="00363165"/>
    <w:rsid w:val="00364A6B"/>
    <w:rsid w:val="00364B9C"/>
    <w:rsid w:val="00365C30"/>
    <w:rsid w:val="003665F9"/>
    <w:rsid w:val="00371F8D"/>
    <w:rsid w:val="0037343D"/>
    <w:rsid w:val="00375929"/>
    <w:rsid w:val="00376955"/>
    <w:rsid w:val="0038014D"/>
    <w:rsid w:val="0038037D"/>
    <w:rsid w:val="00380678"/>
    <w:rsid w:val="003823B8"/>
    <w:rsid w:val="003826B0"/>
    <w:rsid w:val="00383A2C"/>
    <w:rsid w:val="003841A4"/>
    <w:rsid w:val="003870C3"/>
    <w:rsid w:val="003902C3"/>
    <w:rsid w:val="0039144A"/>
    <w:rsid w:val="00392F59"/>
    <w:rsid w:val="00393486"/>
    <w:rsid w:val="0039439A"/>
    <w:rsid w:val="0039573C"/>
    <w:rsid w:val="003A1128"/>
    <w:rsid w:val="003A1898"/>
    <w:rsid w:val="003A472D"/>
    <w:rsid w:val="003A48FE"/>
    <w:rsid w:val="003A6519"/>
    <w:rsid w:val="003A6C3D"/>
    <w:rsid w:val="003B2FD8"/>
    <w:rsid w:val="003B3632"/>
    <w:rsid w:val="003B4A2B"/>
    <w:rsid w:val="003B5DCA"/>
    <w:rsid w:val="003B5F68"/>
    <w:rsid w:val="003B74ED"/>
    <w:rsid w:val="003C0818"/>
    <w:rsid w:val="003C3191"/>
    <w:rsid w:val="003C5C37"/>
    <w:rsid w:val="003D1209"/>
    <w:rsid w:val="003D3431"/>
    <w:rsid w:val="003D467F"/>
    <w:rsid w:val="003D5041"/>
    <w:rsid w:val="003D5F6E"/>
    <w:rsid w:val="003D781E"/>
    <w:rsid w:val="003E0BD4"/>
    <w:rsid w:val="003E158C"/>
    <w:rsid w:val="003E1A3E"/>
    <w:rsid w:val="003E3F95"/>
    <w:rsid w:val="003E5251"/>
    <w:rsid w:val="003E786D"/>
    <w:rsid w:val="003E7D72"/>
    <w:rsid w:val="003E7DD8"/>
    <w:rsid w:val="003F051E"/>
    <w:rsid w:val="003F6F53"/>
    <w:rsid w:val="004064B6"/>
    <w:rsid w:val="00415835"/>
    <w:rsid w:val="0041679E"/>
    <w:rsid w:val="0041739C"/>
    <w:rsid w:val="004175F8"/>
    <w:rsid w:val="00420D72"/>
    <w:rsid w:val="004210D2"/>
    <w:rsid w:val="00421D81"/>
    <w:rsid w:val="004226FF"/>
    <w:rsid w:val="0042290F"/>
    <w:rsid w:val="004240A9"/>
    <w:rsid w:val="00425646"/>
    <w:rsid w:val="00431B2E"/>
    <w:rsid w:val="00432267"/>
    <w:rsid w:val="00433ACB"/>
    <w:rsid w:val="0043424A"/>
    <w:rsid w:val="00434B62"/>
    <w:rsid w:val="0043562E"/>
    <w:rsid w:val="00437663"/>
    <w:rsid w:val="00440FBA"/>
    <w:rsid w:val="004461F0"/>
    <w:rsid w:val="0045136E"/>
    <w:rsid w:val="004517C9"/>
    <w:rsid w:val="0045229B"/>
    <w:rsid w:val="0045305E"/>
    <w:rsid w:val="0045353D"/>
    <w:rsid w:val="00453BEC"/>
    <w:rsid w:val="00453D61"/>
    <w:rsid w:val="00454675"/>
    <w:rsid w:val="00455107"/>
    <w:rsid w:val="004555AD"/>
    <w:rsid w:val="004561E9"/>
    <w:rsid w:val="00465167"/>
    <w:rsid w:val="00465187"/>
    <w:rsid w:val="00465F42"/>
    <w:rsid w:val="00472189"/>
    <w:rsid w:val="00473A17"/>
    <w:rsid w:val="004751C8"/>
    <w:rsid w:val="004767FF"/>
    <w:rsid w:val="004819F1"/>
    <w:rsid w:val="00481CD2"/>
    <w:rsid w:val="00481D2C"/>
    <w:rsid w:val="004831E6"/>
    <w:rsid w:val="00483529"/>
    <w:rsid w:val="0048522E"/>
    <w:rsid w:val="004902FB"/>
    <w:rsid w:val="004914E8"/>
    <w:rsid w:val="004949B3"/>
    <w:rsid w:val="0049603F"/>
    <w:rsid w:val="00496401"/>
    <w:rsid w:val="00496CFB"/>
    <w:rsid w:val="004A1A5D"/>
    <w:rsid w:val="004A3C44"/>
    <w:rsid w:val="004A40DC"/>
    <w:rsid w:val="004A448D"/>
    <w:rsid w:val="004B5BF7"/>
    <w:rsid w:val="004B630C"/>
    <w:rsid w:val="004C25AF"/>
    <w:rsid w:val="004C2E8E"/>
    <w:rsid w:val="004C2F4B"/>
    <w:rsid w:val="004D07F9"/>
    <w:rsid w:val="004D10E6"/>
    <w:rsid w:val="004D1B07"/>
    <w:rsid w:val="004D2E6A"/>
    <w:rsid w:val="004D3B49"/>
    <w:rsid w:val="004D491B"/>
    <w:rsid w:val="004D6D5F"/>
    <w:rsid w:val="004D7F17"/>
    <w:rsid w:val="004E222C"/>
    <w:rsid w:val="004E380A"/>
    <w:rsid w:val="004E7999"/>
    <w:rsid w:val="004F343E"/>
    <w:rsid w:val="004F483F"/>
    <w:rsid w:val="004F69C0"/>
    <w:rsid w:val="004F70D3"/>
    <w:rsid w:val="005001E4"/>
    <w:rsid w:val="00500C0F"/>
    <w:rsid w:val="0050375B"/>
    <w:rsid w:val="00503F5A"/>
    <w:rsid w:val="005050D3"/>
    <w:rsid w:val="00506DDE"/>
    <w:rsid w:val="00507253"/>
    <w:rsid w:val="005209C4"/>
    <w:rsid w:val="00520B6A"/>
    <w:rsid w:val="00520D81"/>
    <w:rsid w:val="00522949"/>
    <w:rsid w:val="005249E2"/>
    <w:rsid w:val="00525F81"/>
    <w:rsid w:val="00527203"/>
    <w:rsid w:val="00532078"/>
    <w:rsid w:val="00533307"/>
    <w:rsid w:val="00533DF6"/>
    <w:rsid w:val="0053552C"/>
    <w:rsid w:val="00536741"/>
    <w:rsid w:val="005421BC"/>
    <w:rsid w:val="005425E2"/>
    <w:rsid w:val="00543194"/>
    <w:rsid w:val="0054758B"/>
    <w:rsid w:val="00550147"/>
    <w:rsid w:val="005519E5"/>
    <w:rsid w:val="00551B3A"/>
    <w:rsid w:val="00552790"/>
    <w:rsid w:val="00552CA0"/>
    <w:rsid w:val="00556BA0"/>
    <w:rsid w:val="00557307"/>
    <w:rsid w:val="0056166B"/>
    <w:rsid w:val="00564840"/>
    <w:rsid w:val="005650D3"/>
    <w:rsid w:val="00567121"/>
    <w:rsid w:val="0057017B"/>
    <w:rsid w:val="005714D2"/>
    <w:rsid w:val="00571617"/>
    <w:rsid w:val="005717C2"/>
    <w:rsid w:val="005728C1"/>
    <w:rsid w:val="00577371"/>
    <w:rsid w:val="00582163"/>
    <w:rsid w:val="00584744"/>
    <w:rsid w:val="00586AC3"/>
    <w:rsid w:val="00590141"/>
    <w:rsid w:val="00593F29"/>
    <w:rsid w:val="00597195"/>
    <w:rsid w:val="005A6730"/>
    <w:rsid w:val="005A72D8"/>
    <w:rsid w:val="005B1A02"/>
    <w:rsid w:val="005B38BD"/>
    <w:rsid w:val="005B42CA"/>
    <w:rsid w:val="005B4DE6"/>
    <w:rsid w:val="005B55FB"/>
    <w:rsid w:val="005B7ECD"/>
    <w:rsid w:val="005C3876"/>
    <w:rsid w:val="005C5BAA"/>
    <w:rsid w:val="005D2C02"/>
    <w:rsid w:val="005D442C"/>
    <w:rsid w:val="005D4A0F"/>
    <w:rsid w:val="005D51F7"/>
    <w:rsid w:val="005D7119"/>
    <w:rsid w:val="005E0709"/>
    <w:rsid w:val="005E0C01"/>
    <w:rsid w:val="005E0CD6"/>
    <w:rsid w:val="005E45BC"/>
    <w:rsid w:val="005E6000"/>
    <w:rsid w:val="005E6F41"/>
    <w:rsid w:val="005F0016"/>
    <w:rsid w:val="005F0FA1"/>
    <w:rsid w:val="005F6E5C"/>
    <w:rsid w:val="005F6EAB"/>
    <w:rsid w:val="00603D72"/>
    <w:rsid w:val="00604147"/>
    <w:rsid w:val="00607D63"/>
    <w:rsid w:val="006122D5"/>
    <w:rsid w:val="0061263B"/>
    <w:rsid w:val="006126EE"/>
    <w:rsid w:val="006128F0"/>
    <w:rsid w:val="00612F7B"/>
    <w:rsid w:val="00615580"/>
    <w:rsid w:val="006166C6"/>
    <w:rsid w:val="006168CA"/>
    <w:rsid w:val="006171C9"/>
    <w:rsid w:val="00627B39"/>
    <w:rsid w:val="00630134"/>
    <w:rsid w:val="006326AC"/>
    <w:rsid w:val="00635447"/>
    <w:rsid w:val="00637C10"/>
    <w:rsid w:val="00637C61"/>
    <w:rsid w:val="00637CFD"/>
    <w:rsid w:val="00640E83"/>
    <w:rsid w:val="0064144C"/>
    <w:rsid w:val="00644B4F"/>
    <w:rsid w:val="00654D45"/>
    <w:rsid w:val="00656533"/>
    <w:rsid w:val="0065657C"/>
    <w:rsid w:val="0065728A"/>
    <w:rsid w:val="00657FCB"/>
    <w:rsid w:val="006600C7"/>
    <w:rsid w:val="006623EA"/>
    <w:rsid w:val="00662D60"/>
    <w:rsid w:val="006640D2"/>
    <w:rsid w:val="00664657"/>
    <w:rsid w:val="0066545A"/>
    <w:rsid w:val="00666A33"/>
    <w:rsid w:val="0066777D"/>
    <w:rsid w:val="00671450"/>
    <w:rsid w:val="00671CBE"/>
    <w:rsid w:val="00674132"/>
    <w:rsid w:val="006752FB"/>
    <w:rsid w:val="00676B70"/>
    <w:rsid w:val="00683743"/>
    <w:rsid w:val="00685970"/>
    <w:rsid w:val="00690107"/>
    <w:rsid w:val="00690F2E"/>
    <w:rsid w:val="006912B4"/>
    <w:rsid w:val="00693E98"/>
    <w:rsid w:val="00694CF2"/>
    <w:rsid w:val="006A2C11"/>
    <w:rsid w:val="006A3598"/>
    <w:rsid w:val="006A6FA0"/>
    <w:rsid w:val="006A7E9A"/>
    <w:rsid w:val="006B0E32"/>
    <w:rsid w:val="006B1F6A"/>
    <w:rsid w:val="006B2E76"/>
    <w:rsid w:val="006B2F89"/>
    <w:rsid w:val="006B313D"/>
    <w:rsid w:val="006B40A2"/>
    <w:rsid w:val="006B4B8F"/>
    <w:rsid w:val="006B7A41"/>
    <w:rsid w:val="006C04AD"/>
    <w:rsid w:val="006C30C6"/>
    <w:rsid w:val="006C3690"/>
    <w:rsid w:val="006C4880"/>
    <w:rsid w:val="006C71F6"/>
    <w:rsid w:val="006D2BF9"/>
    <w:rsid w:val="006D5628"/>
    <w:rsid w:val="006E1081"/>
    <w:rsid w:val="006E1469"/>
    <w:rsid w:val="006F1AE8"/>
    <w:rsid w:val="006F2145"/>
    <w:rsid w:val="006F257A"/>
    <w:rsid w:val="006F3DA2"/>
    <w:rsid w:val="006F4835"/>
    <w:rsid w:val="006F5ECC"/>
    <w:rsid w:val="006F78AD"/>
    <w:rsid w:val="00702FBF"/>
    <w:rsid w:val="007114AD"/>
    <w:rsid w:val="00712BCB"/>
    <w:rsid w:val="007158E8"/>
    <w:rsid w:val="00716B77"/>
    <w:rsid w:val="007201D5"/>
    <w:rsid w:val="00720220"/>
    <w:rsid w:val="007244B1"/>
    <w:rsid w:val="00726E3C"/>
    <w:rsid w:val="007311DA"/>
    <w:rsid w:val="00731C59"/>
    <w:rsid w:val="00732053"/>
    <w:rsid w:val="00732883"/>
    <w:rsid w:val="0073499D"/>
    <w:rsid w:val="007433AF"/>
    <w:rsid w:val="00744B92"/>
    <w:rsid w:val="007472F9"/>
    <w:rsid w:val="0075038A"/>
    <w:rsid w:val="00750C1F"/>
    <w:rsid w:val="007525F8"/>
    <w:rsid w:val="00752D4E"/>
    <w:rsid w:val="00753374"/>
    <w:rsid w:val="00761A9A"/>
    <w:rsid w:val="00761AAB"/>
    <w:rsid w:val="0077002F"/>
    <w:rsid w:val="00772269"/>
    <w:rsid w:val="00772682"/>
    <w:rsid w:val="00772D25"/>
    <w:rsid w:val="0077336F"/>
    <w:rsid w:val="00773885"/>
    <w:rsid w:val="00780D14"/>
    <w:rsid w:val="00782F36"/>
    <w:rsid w:val="00784ED5"/>
    <w:rsid w:val="0078602E"/>
    <w:rsid w:val="00790ED6"/>
    <w:rsid w:val="00791D55"/>
    <w:rsid w:val="00791FBA"/>
    <w:rsid w:val="007941C2"/>
    <w:rsid w:val="0079700B"/>
    <w:rsid w:val="007A00C6"/>
    <w:rsid w:val="007A061D"/>
    <w:rsid w:val="007A2F0A"/>
    <w:rsid w:val="007A3969"/>
    <w:rsid w:val="007A3F3F"/>
    <w:rsid w:val="007A54ED"/>
    <w:rsid w:val="007B2C24"/>
    <w:rsid w:val="007B3707"/>
    <w:rsid w:val="007B4BFC"/>
    <w:rsid w:val="007B610C"/>
    <w:rsid w:val="007B626E"/>
    <w:rsid w:val="007B6778"/>
    <w:rsid w:val="007C0015"/>
    <w:rsid w:val="007C5210"/>
    <w:rsid w:val="007C53DB"/>
    <w:rsid w:val="007D0C19"/>
    <w:rsid w:val="007D226F"/>
    <w:rsid w:val="007D402E"/>
    <w:rsid w:val="007D5472"/>
    <w:rsid w:val="007D7D84"/>
    <w:rsid w:val="007E1460"/>
    <w:rsid w:val="007E2004"/>
    <w:rsid w:val="007E6B9E"/>
    <w:rsid w:val="007F2DB2"/>
    <w:rsid w:val="007F2FA3"/>
    <w:rsid w:val="007F44D5"/>
    <w:rsid w:val="0080095B"/>
    <w:rsid w:val="00804B53"/>
    <w:rsid w:val="0081137C"/>
    <w:rsid w:val="00811AAB"/>
    <w:rsid w:val="0081662B"/>
    <w:rsid w:val="00816754"/>
    <w:rsid w:val="0082372C"/>
    <w:rsid w:val="0082703E"/>
    <w:rsid w:val="008275C2"/>
    <w:rsid w:val="00827B0B"/>
    <w:rsid w:val="008338E8"/>
    <w:rsid w:val="00836165"/>
    <w:rsid w:val="00840866"/>
    <w:rsid w:val="00840E27"/>
    <w:rsid w:val="00844242"/>
    <w:rsid w:val="0084514B"/>
    <w:rsid w:val="008467F9"/>
    <w:rsid w:val="00851E24"/>
    <w:rsid w:val="008523EC"/>
    <w:rsid w:val="008563C0"/>
    <w:rsid w:val="00857650"/>
    <w:rsid w:val="00863FA0"/>
    <w:rsid w:val="008642E8"/>
    <w:rsid w:val="008653EF"/>
    <w:rsid w:val="008746E6"/>
    <w:rsid w:val="00875051"/>
    <w:rsid w:val="00877B9A"/>
    <w:rsid w:val="00880E0A"/>
    <w:rsid w:val="00881B62"/>
    <w:rsid w:val="00881D3E"/>
    <w:rsid w:val="00881F5F"/>
    <w:rsid w:val="008836BE"/>
    <w:rsid w:val="008845AF"/>
    <w:rsid w:val="00886547"/>
    <w:rsid w:val="00886D86"/>
    <w:rsid w:val="00891588"/>
    <w:rsid w:val="00893DC4"/>
    <w:rsid w:val="008976BD"/>
    <w:rsid w:val="008A556D"/>
    <w:rsid w:val="008A5605"/>
    <w:rsid w:val="008A6B1C"/>
    <w:rsid w:val="008A73C9"/>
    <w:rsid w:val="008B0843"/>
    <w:rsid w:val="008B4E0C"/>
    <w:rsid w:val="008C4052"/>
    <w:rsid w:val="008C4B13"/>
    <w:rsid w:val="008C6EB9"/>
    <w:rsid w:val="008D028F"/>
    <w:rsid w:val="008D09B0"/>
    <w:rsid w:val="008D10E2"/>
    <w:rsid w:val="008D6113"/>
    <w:rsid w:val="008D7D1F"/>
    <w:rsid w:val="008E1C4C"/>
    <w:rsid w:val="008E2ACF"/>
    <w:rsid w:val="008E48DA"/>
    <w:rsid w:val="008E4F09"/>
    <w:rsid w:val="008E65F2"/>
    <w:rsid w:val="008F0715"/>
    <w:rsid w:val="008F16AC"/>
    <w:rsid w:val="008F1805"/>
    <w:rsid w:val="008F2BEA"/>
    <w:rsid w:val="008F5385"/>
    <w:rsid w:val="008F6243"/>
    <w:rsid w:val="00901FF5"/>
    <w:rsid w:val="00902008"/>
    <w:rsid w:val="0090271F"/>
    <w:rsid w:val="00903949"/>
    <w:rsid w:val="00903E80"/>
    <w:rsid w:val="00907803"/>
    <w:rsid w:val="00910304"/>
    <w:rsid w:val="0091080F"/>
    <w:rsid w:val="00910F25"/>
    <w:rsid w:val="00911B2E"/>
    <w:rsid w:val="009121EB"/>
    <w:rsid w:val="00914174"/>
    <w:rsid w:val="00914E00"/>
    <w:rsid w:val="009157A8"/>
    <w:rsid w:val="00915E1A"/>
    <w:rsid w:val="00916D78"/>
    <w:rsid w:val="00917FF0"/>
    <w:rsid w:val="00921326"/>
    <w:rsid w:val="009223C1"/>
    <w:rsid w:val="009241E3"/>
    <w:rsid w:val="009258AC"/>
    <w:rsid w:val="00925BDD"/>
    <w:rsid w:val="00930104"/>
    <w:rsid w:val="0093305F"/>
    <w:rsid w:val="00933DC2"/>
    <w:rsid w:val="00934EA9"/>
    <w:rsid w:val="009375B4"/>
    <w:rsid w:val="0094297C"/>
    <w:rsid w:val="00943F91"/>
    <w:rsid w:val="00944D8D"/>
    <w:rsid w:val="009457FD"/>
    <w:rsid w:val="00946A03"/>
    <w:rsid w:val="00947DD8"/>
    <w:rsid w:val="00950372"/>
    <w:rsid w:val="00951818"/>
    <w:rsid w:val="0095578B"/>
    <w:rsid w:val="0096031C"/>
    <w:rsid w:val="009611A7"/>
    <w:rsid w:val="0096441F"/>
    <w:rsid w:val="009647B5"/>
    <w:rsid w:val="00966B92"/>
    <w:rsid w:val="009718DE"/>
    <w:rsid w:val="0097290D"/>
    <w:rsid w:val="00972AAD"/>
    <w:rsid w:val="00980F73"/>
    <w:rsid w:val="0098237A"/>
    <w:rsid w:val="00982FD5"/>
    <w:rsid w:val="00985874"/>
    <w:rsid w:val="0099222E"/>
    <w:rsid w:val="009937CE"/>
    <w:rsid w:val="00993D60"/>
    <w:rsid w:val="0099406D"/>
    <w:rsid w:val="009943AC"/>
    <w:rsid w:val="009A0554"/>
    <w:rsid w:val="009A0DC6"/>
    <w:rsid w:val="009A43E6"/>
    <w:rsid w:val="009A45EF"/>
    <w:rsid w:val="009A69D1"/>
    <w:rsid w:val="009A6C3F"/>
    <w:rsid w:val="009A76D3"/>
    <w:rsid w:val="009B4498"/>
    <w:rsid w:val="009B5A29"/>
    <w:rsid w:val="009B5FF4"/>
    <w:rsid w:val="009B7143"/>
    <w:rsid w:val="009C200D"/>
    <w:rsid w:val="009C32F7"/>
    <w:rsid w:val="009C5490"/>
    <w:rsid w:val="009C5574"/>
    <w:rsid w:val="009C5AB6"/>
    <w:rsid w:val="009C7AF9"/>
    <w:rsid w:val="009D0F66"/>
    <w:rsid w:val="009D3824"/>
    <w:rsid w:val="009D6227"/>
    <w:rsid w:val="009D6D48"/>
    <w:rsid w:val="009E066C"/>
    <w:rsid w:val="009E086E"/>
    <w:rsid w:val="009E1E90"/>
    <w:rsid w:val="009E2573"/>
    <w:rsid w:val="009E4E9C"/>
    <w:rsid w:val="009F0EAC"/>
    <w:rsid w:val="009F1867"/>
    <w:rsid w:val="009F51D6"/>
    <w:rsid w:val="009F5ED2"/>
    <w:rsid w:val="009F7C64"/>
    <w:rsid w:val="009F7CB0"/>
    <w:rsid w:val="00A01EB6"/>
    <w:rsid w:val="00A072A3"/>
    <w:rsid w:val="00A12AA9"/>
    <w:rsid w:val="00A13051"/>
    <w:rsid w:val="00A14A28"/>
    <w:rsid w:val="00A14E85"/>
    <w:rsid w:val="00A160E0"/>
    <w:rsid w:val="00A2179B"/>
    <w:rsid w:val="00A2558C"/>
    <w:rsid w:val="00A2567A"/>
    <w:rsid w:val="00A30423"/>
    <w:rsid w:val="00A307AE"/>
    <w:rsid w:val="00A30B64"/>
    <w:rsid w:val="00A34647"/>
    <w:rsid w:val="00A35E86"/>
    <w:rsid w:val="00A42954"/>
    <w:rsid w:val="00A42EBF"/>
    <w:rsid w:val="00A43196"/>
    <w:rsid w:val="00A4364D"/>
    <w:rsid w:val="00A441F1"/>
    <w:rsid w:val="00A46B8C"/>
    <w:rsid w:val="00A47DAE"/>
    <w:rsid w:val="00A52658"/>
    <w:rsid w:val="00A5758B"/>
    <w:rsid w:val="00A60E98"/>
    <w:rsid w:val="00A7178B"/>
    <w:rsid w:val="00A7195F"/>
    <w:rsid w:val="00A74FD9"/>
    <w:rsid w:val="00A80661"/>
    <w:rsid w:val="00A81958"/>
    <w:rsid w:val="00A8394F"/>
    <w:rsid w:val="00A847A2"/>
    <w:rsid w:val="00A852A8"/>
    <w:rsid w:val="00A87109"/>
    <w:rsid w:val="00A8778E"/>
    <w:rsid w:val="00A95181"/>
    <w:rsid w:val="00A97F33"/>
    <w:rsid w:val="00AA41C8"/>
    <w:rsid w:val="00AA58BD"/>
    <w:rsid w:val="00AB175B"/>
    <w:rsid w:val="00AB611F"/>
    <w:rsid w:val="00AB65A9"/>
    <w:rsid w:val="00AB7FA7"/>
    <w:rsid w:val="00AC08A8"/>
    <w:rsid w:val="00AC1A55"/>
    <w:rsid w:val="00AC1AEC"/>
    <w:rsid w:val="00AC37DC"/>
    <w:rsid w:val="00AC424F"/>
    <w:rsid w:val="00AC4AC7"/>
    <w:rsid w:val="00AC6ED5"/>
    <w:rsid w:val="00AD0386"/>
    <w:rsid w:val="00AD0D0B"/>
    <w:rsid w:val="00AD1F11"/>
    <w:rsid w:val="00AD55E4"/>
    <w:rsid w:val="00AD5F09"/>
    <w:rsid w:val="00AD68B5"/>
    <w:rsid w:val="00AE0990"/>
    <w:rsid w:val="00AE19BE"/>
    <w:rsid w:val="00AE4B9E"/>
    <w:rsid w:val="00AE59F3"/>
    <w:rsid w:val="00AE6729"/>
    <w:rsid w:val="00AF4421"/>
    <w:rsid w:val="00AF64AE"/>
    <w:rsid w:val="00AF6E2E"/>
    <w:rsid w:val="00B00074"/>
    <w:rsid w:val="00B01F5F"/>
    <w:rsid w:val="00B07F69"/>
    <w:rsid w:val="00B17FD6"/>
    <w:rsid w:val="00B2195D"/>
    <w:rsid w:val="00B231BD"/>
    <w:rsid w:val="00B264D8"/>
    <w:rsid w:val="00B3069C"/>
    <w:rsid w:val="00B32EA0"/>
    <w:rsid w:val="00B348A5"/>
    <w:rsid w:val="00B34A8A"/>
    <w:rsid w:val="00B366E9"/>
    <w:rsid w:val="00B36C8F"/>
    <w:rsid w:val="00B36F0E"/>
    <w:rsid w:val="00B40316"/>
    <w:rsid w:val="00B405B2"/>
    <w:rsid w:val="00B415E3"/>
    <w:rsid w:val="00B452B5"/>
    <w:rsid w:val="00B46933"/>
    <w:rsid w:val="00B46FD0"/>
    <w:rsid w:val="00B50003"/>
    <w:rsid w:val="00B50194"/>
    <w:rsid w:val="00B511E7"/>
    <w:rsid w:val="00B52832"/>
    <w:rsid w:val="00B52B41"/>
    <w:rsid w:val="00B52D8D"/>
    <w:rsid w:val="00B52FA2"/>
    <w:rsid w:val="00B55C10"/>
    <w:rsid w:val="00B56BF3"/>
    <w:rsid w:val="00B57D9F"/>
    <w:rsid w:val="00B60B41"/>
    <w:rsid w:val="00B61E8C"/>
    <w:rsid w:val="00B62DD7"/>
    <w:rsid w:val="00B63B86"/>
    <w:rsid w:val="00B7227D"/>
    <w:rsid w:val="00B7402C"/>
    <w:rsid w:val="00B754F1"/>
    <w:rsid w:val="00B80D55"/>
    <w:rsid w:val="00B81034"/>
    <w:rsid w:val="00B81A85"/>
    <w:rsid w:val="00B83C61"/>
    <w:rsid w:val="00B86FDD"/>
    <w:rsid w:val="00B9218D"/>
    <w:rsid w:val="00B93B21"/>
    <w:rsid w:val="00B9485A"/>
    <w:rsid w:val="00B95A89"/>
    <w:rsid w:val="00BA2C74"/>
    <w:rsid w:val="00BA3D7E"/>
    <w:rsid w:val="00BA4203"/>
    <w:rsid w:val="00BA5C58"/>
    <w:rsid w:val="00BB100B"/>
    <w:rsid w:val="00BB1459"/>
    <w:rsid w:val="00BB1E28"/>
    <w:rsid w:val="00BB201D"/>
    <w:rsid w:val="00BB3424"/>
    <w:rsid w:val="00BB6AD0"/>
    <w:rsid w:val="00BC0DA7"/>
    <w:rsid w:val="00BC1A4E"/>
    <w:rsid w:val="00BC1CA9"/>
    <w:rsid w:val="00BC2B32"/>
    <w:rsid w:val="00BC44B6"/>
    <w:rsid w:val="00BC53FF"/>
    <w:rsid w:val="00BD054A"/>
    <w:rsid w:val="00BD3733"/>
    <w:rsid w:val="00BD483D"/>
    <w:rsid w:val="00BD4B2E"/>
    <w:rsid w:val="00BE313E"/>
    <w:rsid w:val="00BE36F3"/>
    <w:rsid w:val="00BE4854"/>
    <w:rsid w:val="00BF02D9"/>
    <w:rsid w:val="00BF03BB"/>
    <w:rsid w:val="00BF06F9"/>
    <w:rsid w:val="00BF1CF7"/>
    <w:rsid w:val="00BF318A"/>
    <w:rsid w:val="00BF3AF3"/>
    <w:rsid w:val="00BF46CC"/>
    <w:rsid w:val="00BF5C5F"/>
    <w:rsid w:val="00C024FF"/>
    <w:rsid w:val="00C02598"/>
    <w:rsid w:val="00C0261F"/>
    <w:rsid w:val="00C035D3"/>
    <w:rsid w:val="00C06212"/>
    <w:rsid w:val="00C12C98"/>
    <w:rsid w:val="00C12CA1"/>
    <w:rsid w:val="00C12D7E"/>
    <w:rsid w:val="00C14134"/>
    <w:rsid w:val="00C15C17"/>
    <w:rsid w:val="00C202F6"/>
    <w:rsid w:val="00C233D8"/>
    <w:rsid w:val="00C23922"/>
    <w:rsid w:val="00C23BE0"/>
    <w:rsid w:val="00C24268"/>
    <w:rsid w:val="00C254B4"/>
    <w:rsid w:val="00C330F1"/>
    <w:rsid w:val="00C33B40"/>
    <w:rsid w:val="00C34736"/>
    <w:rsid w:val="00C34DA4"/>
    <w:rsid w:val="00C36918"/>
    <w:rsid w:val="00C4397E"/>
    <w:rsid w:val="00C43FE3"/>
    <w:rsid w:val="00C440FA"/>
    <w:rsid w:val="00C467CD"/>
    <w:rsid w:val="00C500D2"/>
    <w:rsid w:val="00C52240"/>
    <w:rsid w:val="00C5295F"/>
    <w:rsid w:val="00C52AA1"/>
    <w:rsid w:val="00C55E89"/>
    <w:rsid w:val="00C5692A"/>
    <w:rsid w:val="00C56991"/>
    <w:rsid w:val="00C62175"/>
    <w:rsid w:val="00C6440B"/>
    <w:rsid w:val="00C65D8B"/>
    <w:rsid w:val="00C6626B"/>
    <w:rsid w:val="00C6686F"/>
    <w:rsid w:val="00C6771C"/>
    <w:rsid w:val="00C70765"/>
    <w:rsid w:val="00C71D7A"/>
    <w:rsid w:val="00C725DC"/>
    <w:rsid w:val="00C72868"/>
    <w:rsid w:val="00C731EC"/>
    <w:rsid w:val="00C754FB"/>
    <w:rsid w:val="00C77F94"/>
    <w:rsid w:val="00C77FBA"/>
    <w:rsid w:val="00C81C41"/>
    <w:rsid w:val="00C82273"/>
    <w:rsid w:val="00C82394"/>
    <w:rsid w:val="00C8389B"/>
    <w:rsid w:val="00C86659"/>
    <w:rsid w:val="00C86FEA"/>
    <w:rsid w:val="00C87F52"/>
    <w:rsid w:val="00C93E32"/>
    <w:rsid w:val="00CA2610"/>
    <w:rsid w:val="00CA39AE"/>
    <w:rsid w:val="00CA39D6"/>
    <w:rsid w:val="00CA48AB"/>
    <w:rsid w:val="00CA4B19"/>
    <w:rsid w:val="00CA63CC"/>
    <w:rsid w:val="00CA77E0"/>
    <w:rsid w:val="00CB10CC"/>
    <w:rsid w:val="00CB278F"/>
    <w:rsid w:val="00CB6E75"/>
    <w:rsid w:val="00CC07A9"/>
    <w:rsid w:val="00CC0C0E"/>
    <w:rsid w:val="00CC2FDC"/>
    <w:rsid w:val="00CC7266"/>
    <w:rsid w:val="00CC7419"/>
    <w:rsid w:val="00CD0633"/>
    <w:rsid w:val="00CD0FA9"/>
    <w:rsid w:val="00CD1B0E"/>
    <w:rsid w:val="00CD1FB2"/>
    <w:rsid w:val="00CD2A29"/>
    <w:rsid w:val="00CD3AC3"/>
    <w:rsid w:val="00CD448A"/>
    <w:rsid w:val="00CD4EBD"/>
    <w:rsid w:val="00CE186A"/>
    <w:rsid w:val="00CE1E7D"/>
    <w:rsid w:val="00CE26C9"/>
    <w:rsid w:val="00CE3810"/>
    <w:rsid w:val="00CE5CB9"/>
    <w:rsid w:val="00CE5DFD"/>
    <w:rsid w:val="00CF17A5"/>
    <w:rsid w:val="00CF1DCD"/>
    <w:rsid w:val="00CF2ACA"/>
    <w:rsid w:val="00CF34E2"/>
    <w:rsid w:val="00CF354C"/>
    <w:rsid w:val="00CF3B7C"/>
    <w:rsid w:val="00D0242C"/>
    <w:rsid w:val="00D028B4"/>
    <w:rsid w:val="00D040E5"/>
    <w:rsid w:val="00D06AE9"/>
    <w:rsid w:val="00D15C5C"/>
    <w:rsid w:val="00D15F58"/>
    <w:rsid w:val="00D170E1"/>
    <w:rsid w:val="00D17738"/>
    <w:rsid w:val="00D21A90"/>
    <w:rsid w:val="00D22685"/>
    <w:rsid w:val="00D26BFD"/>
    <w:rsid w:val="00D31329"/>
    <w:rsid w:val="00D346D5"/>
    <w:rsid w:val="00D34DD2"/>
    <w:rsid w:val="00D3648F"/>
    <w:rsid w:val="00D377CC"/>
    <w:rsid w:val="00D40657"/>
    <w:rsid w:val="00D4309B"/>
    <w:rsid w:val="00D45B26"/>
    <w:rsid w:val="00D46242"/>
    <w:rsid w:val="00D51AE5"/>
    <w:rsid w:val="00D52854"/>
    <w:rsid w:val="00D542EC"/>
    <w:rsid w:val="00D61344"/>
    <w:rsid w:val="00D65E20"/>
    <w:rsid w:val="00D66C1D"/>
    <w:rsid w:val="00D67FE1"/>
    <w:rsid w:val="00D71063"/>
    <w:rsid w:val="00D73288"/>
    <w:rsid w:val="00D75A9A"/>
    <w:rsid w:val="00D75C19"/>
    <w:rsid w:val="00D822C9"/>
    <w:rsid w:val="00D85A30"/>
    <w:rsid w:val="00D8781F"/>
    <w:rsid w:val="00D87AEA"/>
    <w:rsid w:val="00D90E79"/>
    <w:rsid w:val="00D91F19"/>
    <w:rsid w:val="00D9377C"/>
    <w:rsid w:val="00D94114"/>
    <w:rsid w:val="00D95AEF"/>
    <w:rsid w:val="00DA2EAE"/>
    <w:rsid w:val="00DA3F79"/>
    <w:rsid w:val="00DA7777"/>
    <w:rsid w:val="00DA7840"/>
    <w:rsid w:val="00DB22C7"/>
    <w:rsid w:val="00DB2FAE"/>
    <w:rsid w:val="00DB48F9"/>
    <w:rsid w:val="00DB4FB9"/>
    <w:rsid w:val="00DB531C"/>
    <w:rsid w:val="00DB5B7B"/>
    <w:rsid w:val="00DB5FFF"/>
    <w:rsid w:val="00DB6DA3"/>
    <w:rsid w:val="00DC3AFA"/>
    <w:rsid w:val="00DC3D82"/>
    <w:rsid w:val="00DC4944"/>
    <w:rsid w:val="00DC4F52"/>
    <w:rsid w:val="00DC61BB"/>
    <w:rsid w:val="00DD0EA7"/>
    <w:rsid w:val="00DD4658"/>
    <w:rsid w:val="00DD50FA"/>
    <w:rsid w:val="00DE0B91"/>
    <w:rsid w:val="00DE3B98"/>
    <w:rsid w:val="00DE3E63"/>
    <w:rsid w:val="00DE4EF2"/>
    <w:rsid w:val="00DE717E"/>
    <w:rsid w:val="00DF3CB9"/>
    <w:rsid w:val="00DF3E70"/>
    <w:rsid w:val="00DF45A3"/>
    <w:rsid w:val="00DF5A4C"/>
    <w:rsid w:val="00DF736C"/>
    <w:rsid w:val="00E00571"/>
    <w:rsid w:val="00E018F0"/>
    <w:rsid w:val="00E02DC5"/>
    <w:rsid w:val="00E03F15"/>
    <w:rsid w:val="00E05174"/>
    <w:rsid w:val="00E06356"/>
    <w:rsid w:val="00E06735"/>
    <w:rsid w:val="00E103C1"/>
    <w:rsid w:val="00E10756"/>
    <w:rsid w:val="00E12AC1"/>
    <w:rsid w:val="00E14946"/>
    <w:rsid w:val="00E15C1A"/>
    <w:rsid w:val="00E16E20"/>
    <w:rsid w:val="00E17661"/>
    <w:rsid w:val="00E21082"/>
    <w:rsid w:val="00E23048"/>
    <w:rsid w:val="00E24C56"/>
    <w:rsid w:val="00E267A9"/>
    <w:rsid w:val="00E30A11"/>
    <w:rsid w:val="00E319F3"/>
    <w:rsid w:val="00E3276C"/>
    <w:rsid w:val="00E33626"/>
    <w:rsid w:val="00E42C5B"/>
    <w:rsid w:val="00E4300C"/>
    <w:rsid w:val="00E46238"/>
    <w:rsid w:val="00E46DC5"/>
    <w:rsid w:val="00E47A10"/>
    <w:rsid w:val="00E50C44"/>
    <w:rsid w:val="00E50E83"/>
    <w:rsid w:val="00E525A6"/>
    <w:rsid w:val="00E5356B"/>
    <w:rsid w:val="00E54D9C"/>
    <w:rsid w:val="00E566B8"/>
    <w:rsid w:val="00E66578"/>
    <w:rsid w:val="00E66FA6"/>
    <w:rsid w:val="00E67191"/>
    <w:rsid w:val="00E708C1"/>
    <w:rsid w:val="00E71297"/>
    <w:rsid w:val="00E71A13"/>
    <w:rsid w:val="00E7423B"/>
    <w:rsid w:val="00E74A32"/>
    <w:rsid w:val="00E74B79"/>
    <w:rsid w:val="00E75199"/>
    <w:rsid w:val="00E761A3"/>
    <w:rsid w:val="00E85B96"/>
    <w:rsid w:val="00E861D8"/>
    <w:rsid w:val="00E865F5"/>
    <w:rsid w:val="00E87516"/>
    <w:rsid w:val="00E90A8D"/>
    <w:rsid w:val="00E90C13"/>
    <w:rsid w:val="00E9121E"/>
    <w:rsid w:val="00E9174E"/>
    <w:rsid w:val="00E937BD"/>
    <w:rsid w:val="00E9392A"/>
    <w:rsid w:val="00EA32F4"/>
    <w:rsid w:val="00EA393F"/>
    <w:rsid w:val="00EA4643"/>
    <w:rsid w:val="00EA66A3"/>
    <w:rsid w:val="00EB218F"/>
    <w:rsid w:val="00EB7A97"/>
    <w:rsid w:val="00EB7BD7"/>
    <w:rsid w:val="00EC0C03"/>
    <w:rsid w:val="00EC1377"/>
    <w:rsid w:val="00EC16D4"/>
    <w:rsid w:val="00EC23CD"/>
    <w:rsid w:val="00EC3544"/>
    <w:rsid w:val="00EC6203"/>
    <w:rsid w:val="00EC654E"/>
    <w:rsid w:val="00EC67AB"/>
    <w:rsid w:val="00EC6897"/>
    <w:rsid w:val="00EC6D8F"/>
    <w:rsid w:val="00EC7CE5"/>
    <w:rsid w:val="00ED24A0"/>
    <w:rsid w:val="00ED3ACE"/>
    <w:rsid w:val="00ED50B1"/>
    <w:rsid w:val="00ED5329"/>
    <w:rsid w:val="00ED618A"/>
    <w:rsid w:val="00ED7C56"/>
    <w:rsid w:val="00EE004B"/>
    <w:rsid w:val="00EE3A87"/>
    <w:rsid w:val="00EE557B"/>
    <w:rsid w:val="00EE5AD8"/>
    <w:rsid w:val="00EE6121"/>
    <w:rsid w:val="00EE693F"/>
    <w:rsid w:val="00EE7830"/>
    <w:rsid w:val="00EF046E"/>
    <w:rsid w:val="00EF739F"/>
    <w:rsid w:val="00F00F1B"/>
    <w:rsid w:val="00F0173D"/>
    <w:rsid w:val="00F02502"/>
    <w:rsid w:val="00F027A8"/>
    <w:rsid w:val="00F04313"/>
    <w:rsid w:val="00F06051"/>
    <w:rsid w:val="00F105B1"/>
    <w:rsid w:val="00F10DD5"/>
    <w:rsid w:val="00F11127"/>
    <w:rsid w:val="00F11ADB"/>
    <w:rsid w:val="00F1447F"/>
    <w:rsid w:val="00F20B42"/>
    <w:rsid w:val="00F22E01"/>
    <w:rsid w:val="00F23A2F"/>
    <w:rsid w:val="00F25B58"/>
    <w:rsid w:val="00F32FCA"/>
    <w:rsid w:val="00F3575D"/>
    <w:rsid w:val="00F35C24"/>
    <w:rsid w:val="00F3619E"/>
    <w:rsid w:val="00F36890"/>
    <w:rsid w:val="00F42EFD"/>
    <w:rsid w:val="00F46980"/>
    <w:rsid w:val="00F5227B"/>
    <w:rsid w:val="00F53F26"/>
    <w:rsid w:val="00F56E9F"/>
    <w:rsid w:val="00F57C6F"/>
    <w:rsid w:val="00F60E36"/>
    <w:rsid w:val="00F657A4"/>
    <w:rsid w:val="00F66DAA"/>
    <w:rsid w:val="00F7164D"/>
    <w:rsid w:val="00F76940"/>
    <w:rsid w:val="00F76998"/>
    <w:rsid w:val="00F77DE3"/>
    <w:rsid w:val="00F77F48"/>
    <w:rsid w:val="00F81FC7"/>
    <w:rsid w:val="00F8273A"/>
    <w:rsid w:val="00F82BF9"/>
    <w:rsid w:val="00F85B30"/>
    <w:rsid w:val="00F86432"/>
    <w:rsid w:val="00F86BDF"/>
    <w:rsid w:val="00F86E8B"/>
    <w:rsid w:val="00F91D36"/>
    <w:rsid w:val="00F93747"/>
    <w:rsid w:val="00F97E1C"/>
    <w:rsid w:val="00FA48E2"/>
    <w:rsid w:val="00FA5B7B"/>
    <w:rsid w:val="00FA6A93"/>
    <w:rsid w:val="00FA7C84"/>
    <w:rsid w:val="00FB0002"/>
    <w:rsid w:val="00FB5868"/>
    <w:rsid w:val="00FB6021"/>
    <w:rsid w:val="00FB6FDA"/>
    <w:rsid w:val="00FC0DE2"/>
    <w:rsid w:val="00FC1EC2"/>
    <w:rsid w:val="00FC30A9"/>
    <w:rsid w:val="00FC3A06"/>
    <w:rsid w:val="00FC483E"/>
    <w:rsid w:val="00FC50BA"/>
    <w:rsid w:val="00FC5AEF"/>
    <w:rsid w:val="00FC739F"/>
    <w:rsid w:val="00FD3AC7"/>
    <w:rsid w:val="00FD3F10"/>
    <w:rsid w:val="00FD48DA"/>
    <w:rsid w:val="00FD5B76"/>
    <w:rsid w:val="00FD6A0C"/>
    <w:rsid w:val="00FD7B00"/>
    <w:rsid w:val="00FE16B7"/>
    <w:rsid w:val="00FE1896"/>
    <w:rsid w:val="00FE38EF"/>
    <w:rsid w:val="00FE6685"/>
    <w:rsid w:val="00FF2161"/>
    <w:rsid w:val="00FF33CC"/>
    <w:rsid w:val="00FF35B3"/>
    <w:rsid w:val="00FF40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 w:type="paragraph" w:styleId="ad">
    <w:name w:val="footnote text"/>
    <w:basedOn w:val="a"/>
    <w:link w:val="Char4"/>
    <w:uiPriority w:val="99"/>
    <w:semiHidden/>
    <w:unhideWhenUsed/>
    <w:rsid w:val="009F1867"/>
    <w:pPr>
      <w:spacing w:after="0" w:line="240" w:lineRule="auto"/>
    </w:pPr>
    <w:rPr>
      <w:sz w:val="20"/>
      <w:szCs w:val="20"/>
    </w:rPr>
  </w:style>
  <w:style w:type="character" w:customStyle="1" w:styleId="Char4">
    <w:name w:val="Κείμενο υποσημείωσης Char"/>
    <w:basedOn w:val="a0"/>
    <w:link w:val="ad"/>
    <w:uiPriority w:val="99"/>
    <w:semiHidden/>
    <w:rsid w:val="009F1867"/>
    <w:rPr>
      <w:sz w:val="20"/>
      <w:szCs w:val="20"/>
    </w:rPr>
  </w:style>
  <w:style w:type="character" w:styleId="ae">
    <w:name w:val="footnote reference"/>
    <w:basedOn w:val="a0"/>
    <w:uiPriority w:val="99"/>
    <w:semiHidden/>
    <w:unhideWhenUsed/>
    <w:rsid w:val="009F186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 w:type="paragraph" w:styleId="ad">
    <w:name w:val="footnote text"/>
    <w:basedOn w:val="a"/>
    <w:link w:val="Char4"/>
    <w:uiPriority w:val="99"/>
    <w:semiHidden/>
    <w:unhideWhenUsed/>
    <w:rsid w:val="009F1867"/>
    <w:pPr>
      <w:spacing w:after="0" w:line="240" w:lineRule="auto"/>
    </w:pPr>
    <w:rPr>
      <w:sz w:val="20"/>
      <w:szCs w:val="20"/>
    </w:rPr>
  </w:style>
  <w:style w:type="character" w:customStyle="1" w:styleId="Char4">
    <w:name w:val="Κείμενο υποσημείωσης Char"/>
    <w:basedOn w:val="a0"/>
    <w:link w:val="ad"/>
    <w:uiPriority w:val="99"/>
    <w:semiHidden/>
    <w:rsid w:val="009F1867"/>
    <w:rPr>
      <w:sz w:val="20"/>
      <w:szCs w:val="20"/>
    </w:rPr>
  </w:style>
  <w:style w:type="character" w:styleId="ae">
    <w:name w:val="footnote reference"/>
    <w:basedOn w:val="a0"/>
    <w:uiPriority w:val="99"/>
    <w:semiHidden/>
    <w:unhideWhenUsed/>
    <w:rsid w:val="009F18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46652">
      <w:bodyDiv w:val="1"/>
      <w:marLeft w:val="0"/>
      <w:marRight w:val="0"/>
      <w:marTop w:val="0"/>
      <w:marBottom w:val="0"/>
      <w:divBdr>
        <w:top w:val="none" w:sz="0" w:space="0" w:color="auto"/>
        <w:left w:val="none" w:sz="0" w:space="0" w:color="auto"/>
        <w:bottom w:val="none" w:sz="0" w:space="0" w:color="auto"/>
        <w:right w:val="none" w:sz="0" w:space="0" w:color="auto"/>
      </w:divBdr>
    </w:div>
    <w:div w:id="336659561">
      <w:bodyDiv w:val="1"/>
      <w:marLeft w:val="0"/>
      <w:marRight w:val="0"/>
      <w:marTop w:val="0"/>
      <w:marBottom w:val="0"/>
      <w:divBdr>
        <w:top w:val="none" w:sz="0" w:space="0" w:color="auto"/>
        <w:left w:val="none" w:sz="0" w:space="0" w:color="auto"/>
        <w:bottom w:val="none" w:sz="0" w:space="0" w:color="auto"/>
        <w:right w:val="none" w:sz="0" w:space="0" w:color="auto"/>
      </w:divBdr>
    </w:div>
    <w:div w:id="338116635">
      <w:bodyDiv w:val="1"/>
      <w:marLeft w:val="0"/>
      <w:marRight w:val="0"/>
      <w:marTop w:val="0"/>
      <w:marBottom w:val="0"/>
      <w:divBdr>
        <w:top w:val="none" w:sz="0" w:space="0" w:color="auto"/>
        <w:left w:val="none" w:sz="0" w:space="0" w:color="auto"/>
        <w:bottom w:val="none" w:sz="0" w:space="0" w:color="auto"/>
        <w:right w:val="none" w:sz="0" w:space="0" w:color="auto"/>
      </w:divBdr>
    </w:div>
    <w:div w:id="596716282">
      <w:bodyDiv w:val="1"/>
      <w:marLeft w:val="0"/>
      <w:marRight w:val="0"/>
      <w:marTop w:val="0"/>
      <w:marBottom w:val="0"/>
      <w:divBdr>
        <w:top w:val="none" w:sz="0" w:space="0" w:color="auto"/>
        <w:left w:val="none" w:sz="0" w:space="0" w:color="auto"/>
        <w:bottom w:val="none" w:sz="0" w:space="0" w:color="auto"/>
        <w:right w:val="none" w:sz="0" w:space="0" w:color="auto"/>
      </w:divBdr>
    </w:div>
    <w:div w:id="673920591">
      <w:bodyDiv w:val="1"/>
      <w:marLeft w:val="0"/>
      <w:marRight w:val="0"/>
      <w:marTop w:val="0"/>
      <w:marBottom w:val="0"/>
      <w:divBdr>
        <w:top w:val="none" w:sz="0" w:space="0" w:color="auto"/>
        <w:left w:val="none" w:sz="0" w:space="0" w:color="auto"/>
        <w:bottom w:val="none" w:sz="0" w:space="0" w:color="auto"/>
        <w:right w:val="none" w:sz="0" w:space="0" w:color="auto"/>
      </w:divBdr>
    </w:div>
    <w:div w:id="694114417">
      <w:bodyDiv w:val="1"/>
      <w:marLeft w:val="0"/>
      <w:marRight w:val="0"/>
      <w:marTop w:val="0"/>
      <w:marBottom w:val="0"/>
      <w:divBdr>
        <w:top w:val="none" w:sz="0" w:space="0" w:color="auto"/>
        <w:left w:val="none" w:sz="0" w:space="0" w:color="auto"/>
        <w:bottom w:val="none" w:sz="0" w:space="0" w:color="auto"/>
        <w:right w:val="none" w:sz="0" w:space="0" w:color="auto"/>
      </w:divBdr>
    </w:div>
    <w:div w:id="1039477444">
      <w:bodyDiv w:val="1"/>
      <w:marLeft w:val="0"/>
      <w:marRight w:val="0"/>
      <w:marTop w:val="0"/>
      <w:marBottom w:val="0"/>
      <w:divBdr>
        <w:top w:val="none" w:sz="0" w:space="0" w:color="auto"/>
        <w:left w:val="none" w:sz="0" w:space="0" w:color="auto"/>
        <w:bottom w:val="none" w:sz="0" w:space="0" w:color="auto"/>
        <w:right w:val="none" w:sz="0" w:space="0" w:color="auto"/>
      </w:divBdr>
    </w:div>
    <w:div w:id="1247155202">
      <w:bodyDiv w:val="1"/>
      <w:marLeft w:val="0"/>
      <w:marRight w:val="0"/>
      <w:marTop w:val="0"/>
      <w:marBottom w:val="0"/>
      <w:divBdr>
        <w:top w:val="none" w:sz="0" w:space="0" w:color="auto"/>
        <w:left w:val="none" w:sz="0" w:space="0" w:color="auto"/>
        <w:bottom w:val="none" w:sz="0" w:space="0" w:color="auto"/>
        <w:right w:val="none" w:sz="0" w:space="0" w:color="auto"/>
      </w:divBdr>
    </w:div>
    <w:div w:id="1432968775">
      <w:bodyDiv w:val="1"/>
      <w:marLeft w:val="0"/>
      <w:marRight w:val="0"/>
      <w:marTop w:val="0"/>
      <w:marBottom w:val="0"/>
      <w:divBdr>
        <w:top w:val="none" w:sz="0" w:space="0" w:color="auto"/>
        <w:left w:val="none" w:sz="0" w:space="0" w:color="auto"/>
        <w:bottom w:val="none" w:sz="0" w:space="0" w:color="auto"/>
        <w:right w:val="none" w:sz="0" w:space="0" w:color="auto"/>
      </w:divBdr>
    </w:div>
    <w:div w:id="1759666562">
      <w:bodyDiv w:val="1"/>
      <w:marLeft w:val="0"/>
      <w:marRight w:val="0"/>
      <w:marTop w:val="0"/>
      <w:marBottom w:val="0"/>
      <w:divBdr>
        <w:top w:val="none" w:sz="0" w:space="0" w:color="auto"/>
        <w:left w:val="none" w:sz="0" w:space="0" w:color="auto"/>
        <w:bottom w:val="none" w:sz="0" w:space="0" w:color="auto"/>
        <w:right w:val="none" w:sz="0" w:space="0" w:color="auto"/>
      </w:divBdr>
    </w:div>
    <w:div w:id="204998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22B38-826C-48DB-9A11-49FC9D953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1055</Words>
  <Characters>5702</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ΕΥΔ/ΕΠ-ΥΜΕΠΕΡΑΑ_Πρόσκληση_Ολοκληρωμένη Διαχείριση Αποβλήτων_v5</vt:lpstr>
    </vt:vector>
  </TitlesOfParts>
  <Company>Hewlett-Packard Company</Company>
  <LinksUpToDate>false</LinksUpToDate>
  <CharactersWithSpaces>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ΕΥΔ/ΕΠ-ΥΜΕΠΕΡΑΑ_Πρόσκληση_Ολοκληρωμένη Διαχείριση Αποβλήτων_v5</dc:title>
  <dc:creator>Δρακάτου Αλεξάνδρα</dc:creator>
  <dc:description>Generated by Oracle BI Publisher 11.1.1.7.0</dc:description>
  <cp:lastModifiedBy>Δρακάτου, Αλεξάνδρα</cp:lastModifiedBy>
  <cp:revision>3</cp:revision>
  <cp:lastPrinted>2017-09-08T10:49:00Z</cp:lastPrinted>
  <dcterms:created xsi:type="dcterms:W3CDTF">2017-11-28T08:45:00Z</dcterms:created>
  <dcterms:modified xsi:type="dcterms:W3CDTF">2017-11-28T08:45:00Z</dcterms:modified>
</cp:coreProperties>
</file>