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643" w:rsidRPr="00DE3A74" w:rsidRDefault="00BF0643" w:rsidP="00BF0643">
      <w:pPr>
        <w:jc w:val="center"/>
        <w:rPr>
          <w:b/>
          <w:sz w:val="24"/>
          <w:szCs w:val="24"/>
        </w:rPr>
      </w:pPr>
      <w:r w:rsidRPr="0036184C">
        <w:rPr>
          <w:b/>
          <w:sz w:val="24"/>
          <w:szCs w:val="24"/>
        </w:rPr>
        <w:t xml:space="preserve">Μεθοδολογία Υπολογισμού Δείκτη Εκροής </w:t>
      </w:r>
      <w:r w:rsidRPr="0036184C">
        <w:rPr>
          <w:b/>
          <w:sz w:val="24"/>
          <w:szCs w:val="24"/>
          <w:lang w:val="en-US"/>
        </w:rPr>
        <w:t>CO</w:t>
      </w:r>
      <w:r w:rsidRPr="0036184C">
        <w:rPr>
          <w:b/>
          <w:sz w:val="24"/>
          <w:szCs w:val="24"/>
        </w:rPr>
        <w:t>3</w:t>
      </w:r>
      <w:r w:rsidRPr="00DE3A74">
        <w:rPr>
          <w:b/>
          <w:sz w:val="24"/>
          <w:szCs w:val="24"/>
        </w:rPr>
        <w:t>4</w:t>
      </w:r>
      <w:r>
        <w:rPr>
          <w:b/>
          <w:sz w:val="24"/>
          <w:szCs w:val="24"/>
        </w:rPr>
        <w:t xml:space="preserve"> για επέκταση μονάδων τηλεθέρμανσης</w:t>
      </w:r>
    </w:p>
    <w:p w:rsidR="00BF0643" w:rsidRDefault="00BF0643" w:rsidP="00BF0643"/>
    <w:p w:rsidR="00BF0643" w:rsidRDefault="00BF0643" w:rsidP="00BF0643">
      <w:r>
        <w:t xml:space="preserve">Για τον υπολογισμό του δείκτη εκροής </w:t>
      </w:r>
      <w:r>
        <w:rPr>
          <w:lang w:val="en-US"/>
        </w:rPr>
        <w:t>CO</w:t>
      </w:r>
      <w:r w:rsidRPr="00C341ED">
        <w:t>3</w:t>
      </w:r>
      <w:r>
        <w:t>4, θα πρέπει πρώτα να υπολογισθεί η μείωση της ετήσιας κατανάλωσης πρωτογενούς ενέργειας δικτύων τηλεθέρμανσης και στη συνέχεια να υπολογιστεί η ε</w:t>
      </w:r>
      <w:r w:rsidRPr="003B6C36">
        <w:t>κτιμώμενη ετήσια μείωση των εκπομπών των αερίων θερμοκηπίου</w:t>
      </w:r>
      <w:r>
        <w:t xml:space="preserve"> τηλεθέρμανσης.</w:t>
      </w:r>
    </w:p>
    <w:p w:rsidR="00BF0643" w:rsidRDefault="00BF0643" w:rsidP="00BF0643">
      <w:r>
        <w:t>Ως δεδομένα για τον υπολογισμό της μείωσης της ετήσιας κατανάλωσης πρωτογενούς ενέργειας δικτύων τηλεθέρμανσης, αξιοποιήθηκαν τα στοιχεία που χρησιμοποιήθηκαν στο πλαίσιο της περιεκτικής αξιολόγησης, η οποία καταρτίστηκε και υποβλήθηκε στην ΕΕ τον Μάρτιο του 2016 σύμφωνα με τις απαιτήσεις του Άρθρου 14 της Οδηγίας 2012/27/ΕΕ για την ενεργειακή απόδοση.</w:t>
      </w:r>
    </w:p>
    <w:p w:rsidR="00BF0643" w:rsidRDefault="00BF0643" w:rsidP="00BF0643">
      <w:r>
        <w:t>Η μεθοδολογική προσέγγιση που εφαρμόστηκε βασίστηκε στον προσδιορισμό:</w:t>
      </w:r>
    </w:p>
    <w:p w:rsidR="00BF0643" w:rsidRDefault="00BF0643" w:rsidP="00BF0643">
      <w:pPr>
        <w:pStyle w:val="a3"/>
        <w:numPr>
          <w:ilvl w:val="0"/>
          <w:numId w:val="6"/>
        </w:numPr>
      </w:pPr>
      <w:r>
        <w:t>Του εκτιμώμενου θερμαινόμενου πληθυσμού ανά εγκατεστημένη θερμική ισχύ μεταφοράς του δικτύου τηλεθέρμανσης.</w:t>
      </w:r>
    </w:p>
    <w:p w:rsidR="00BF0643" w:rsidRDefault="00BF0643" w:rsidP="00BF0643">
      <w:pPr>
        <w:pStyle w:val="a3"/>
        <w:numPr>
          <w:ilvl w:val="0"/>
          <w:numId w:val="6"/>
        </w:numPr>
      </w:pPr>
      <w:r>
        <w:t>Του μέσου κόστους επέκτασης του υφιστάμενου δικτύου τηλεθέρμανσης ανά εγκατεστημένη θερμική ισχύ μεταφοράς.</w:t>
      </w:r>
    </w:p>
    <w:p w:rsidR="00BF0643" w:rsidRDefault="00BF0643" w:rsidP="00BF0643">
      <w:pPr>
        <w:pStyle w:val="a3"/>
        <w:numPr>
          <w:ilvl w:val="0"/>
          <w:numId w:val="6"/>
        </w:numPr>
      </w:pPr>
      <w:r>
        <w:t>Της μέσης ζήτησης για θέρμανση χώρων τυπικής κατοικίας.</w:t>
      </w:r>
    </w:p>
    <w:p w:rsidR="00BF0643" w:rsidRDefault="00BF0643" w:rsidP="00BF0643">
      <w:pPr>
        <w:pStyle w:val="a3"/>
        <w:numPr>
          <w:ilvl w:val="0"/>
          <w:numId w:val="6"/>
        </w:numPr>
      </w:pPr>
      <w:r>
        <w:t>Του μέσου βαθμού απόδοσης τόσο του υφιστάμενου συστήματος θέρμανσης, όσο και του νέου ενεργειακά αποδοτικού συστήματος.</w:t>
      </w:r>
    </w:p>
    <w:p w:rsidR="00BF0643" w:rsidRDefault="00BF0643" w:rsidP="00BF0643">
      <w:r>
        <w:t xml:space="preserve">Επισημαίνεται ότι η συγκεκριμένη μεθοδολογική εφαρμόστηκε για την περίπτωση επέκτασης δικτύου τηλεθέρμανσης τόσο στην Κλιματική Ζώνη Δ, όσο και στην Κλιματική Ζώνη Γ (παραδοχή στάθμισης κατοικιών: 75% του Π/Υ στην Κλιματική Ζώνη Δ και 25% στην Κλιματική Ζώνη Γ). Επισημαίνεται ότι στη συγκεκριμένη περίπτωση </w:t>
      </w:r>
      <w:r w:rsidRPr="00B22DFB">
        <w:rPr>
          <w:u w:val="single"/>
        </w:rPr>
        <w:t>δεν προβλέπεται</w:t>
      </w:r>
      <w:r>
        <w:t xml:space="preserve"> η υλοποίηση νέας μονάδας παραγωγής θερμότητας, αλλά η αξιοποίηση των υφιστάμενων μέσω της διαδικασίας α</w:t>
      </w:r>
      <w:r w:rsidRPr="002C6002">
        <w:t>νάκτηση</w:t>
      </w:r>
      <w:r>
        <w:t>ς</w:t>
      </w:r>
      <w:r w:rsidRPr="002C6002">
        <w:t xml:space="preserve"> </w:t>
      </w:r>
      <w:r>
        <w:t xml:space="preserve">της </w:t>
      </w:r>
      <w:r w:rsidRPr="002C6002">
        <w:t>θερμικής ενέργειας</w:t>
      </w:r>
      <w:r>
        <w:t>.</w:t>
      </w:r>
    </w:p>
    <w:p w:rsidR="00BF0643" w:rsidRDefault="00BF0643" w:rsidP="00BF0643">
      <w:r w:rsidRPr="00DE2AD1">
        <w:rPr>
          <w:u w:val="single"/>
        </w:rPr>
        <w:t>Πιο συγκεκριμένα, ο υπολογισμός της μείωσης της ετήσιας κατανάλωσης πρωτογενούς ενέργειας δικτύων τηλεθέρμανσης μπορεί να πραγματοποιηθεί ως εξής</w:t>
      </w:r>
      <w:r>
        <w:t>:</w:t>
      </w:r>
    </w:p>
    <w:p w:rsidR="00BF0643" w:rsidRDefault="00BF0643" w:rsidP="00BF0643">
      <w:r>
        <w:t>Έστω ότι ο διατιθέμενος Π/Υ για την χρηματοδοτική κάλυψη δράσεων στο πλαίσιο του προγράμματος ισούται με 10.000.000 €.</w:t>
      </w:r>
    </w:p>
    <w:p w:rsidR="00BF0643" w:rsidRDefault="00BF0643" w:rsidP="00BF0643">
      <w:r>
        <w:t>Λαμβάνοντας υπόψη το μέσο κόστος επέκτασης του υφιστάμενου δικτύου τηλεθέρμανσης ανά εγκατεστημένη θερμική ισχύ</w:t>
      </w:r>
      <w:r w:rsidRPr="008C4E56">
        <w:t xml:space="preserve"> </w:t>
      </w:r>
      <w:r>
        <w:t>ισούται με 850</w:t>
      </w:r>
      <w:r w:rsidRPr="008C4E56">
        <w:t xml:space="preserve"> €/</w:t>
      </w:r>
      <w:proofErr w:type="spellStart"/>
      <w:r>
        <w:rPr>
          <w:lang w:val="en-US"/>
        </w:rPr>
        <w:t>MWth</w:t>
      </w:r>
      <w:proofErr w:type="spellEnd"/>
      <w:r>
        <w:t xml:space="preserve">, προσδιορίζεται ότι η απαιτούμενη θερμική ισχύς μεταφοράς για την επέκταση του δικτύου τηλεθέρμανσης ισούται με 11,8 </w:t>
      </w:r>
      <w:proofErr w:type="spellStart"/>
      <w:r>
        <w:rPr>
          <w:lang w:val="en-US"/>
        </w:rPr>
        <w:t>MWth</w:t>
      </w:r>
      <w:proofErr w:type="spellEnd"/>
      <w:r>
        <w:t>.</w:t>
      </w:r>
    </w:p>
    <w:p w:rsidR="00BF0643" w:rsidRDefault="00BF0643" w:rsidP="00BF0643">
      <w:r>
        <w:t>Στο Παράρτημα παρουσιάζεται αναλυτικά τόσο η μεθοδολογική προσέγγιση που εφαρμόστηκε, όσο και οι παραδοχές για τον υπολογισμό του συγκεκριμένου δείκτη.</w:t>
      </w:r>
    </w:p>
    <w:p w:rsidR="00BF0643" w:rsidRPr="00C96B8A" w:rsidRDefault="00BF0643" w:rsidP="00BF0643">
      <w:r>
        <w:t>Επισημαίνεται ότι ο συγκεκριμένος προσδιορισμός πρέπει να λάβει υπόψη του και τα επιτρεπόμενα ποσοστά επιχορήγησης βάσει των απαιτήσεων των κατευθυντήριων οδηγιών, τα οποία δύνανται να ανέλθουν σε ποσοστό 100%.</w:t>
      </w:r>
    </w:p>
    <w:p w:rsidR="00BF0643" w:rsidRPr="00200184" w:rsidRDefault="00BF0643" w:rsidP="00BF0643">
      <w:r>
        <w:t>Δεδομένου ότι ο εκτιμώμενος θερμαινόμενος πληθυσμός ανά εγκατεστημένη θερμική ισχύ μεταφοράς ισούται με 232 άτομα/</w:t>
      </w:r>
      <w:proofErr w:type="spellStart"/>
      <w:r>
        <w:rPr>
          <w:lang w:val="en-US"/>
        </w:rPr>
        <w:t>MWth</w:t>
      </w:r>
      <w:proofErr w:type="spellEnd"/>
      <w:r>
        <w:t>, υπολογίζεται ότι τα ωφελούμενα νοικοκυριά ισούνται με 1.137 υπό την προϋπόθεση ότι ένα τυπικό νοικοκυριό αποτελείται από 2,4 άτομα.</w:t>
      </w:r>
    </w:p>
    <w:p w:rsidR="00BF0643" w:rsidRPr="006D5A88" w:rsidRDefault="00BF0643" w:rsidP="00BF0643">
      <w:r>
        <w:lastRenderedPageBreak/>
        <w:t>Η ωφέλιμη ενέργεια για θέρμανση χώρων προσδιορίζεται ίση με 22.29</w:t>
      </w:r>
      <w:r w:rsidRPr="00462B72">
        <w:t>1</w:t>
      </w:r>
      <w:r>
        <w:t xml:space="preserve"> Μ</w:t>
      </w:r>
      <w:proofErr w:type="spellStart"/>
      <w:r>
        <w:rPr>
          <w:lang w:val="en-US"/>
        </w:rPr>
        <w:t>Wh</w:t>
      </w:r>
      <w:proofErr w:type="spellEnd"/>
      <w:r w:rsidRPr="008F1371">
        <w:t xml:space="preserve"> </w:t>
      </w:r>
      <w:r>
        <w:t xml:space="preserve">για το σύνολο των νοικοκυριών, όπου η ζήτηση για θέρμανση χώρων ανέρχεται σε 19.605 </w:t>
      </w:r>
      <w:r>
        <w:rPr>
          <w:lang w:val="en-US"/>
        </w:rPr>
        <w:t>kWh</w:t>
      </w:r>
      <w:r w:rsidRPr="008F1371">
        <w:t xml:space="preserve"> </w:t>
      </w:r>
      <w:r>
        <w:t>ανά κατοικία</w:t>
      </w:r>
      <w:r>
        <w:rPr>
          <w:rStyle w:val="a8"/>
        </w:rPr>
        <w:footnoteReference w:id="1"/>
      </w:r>
      <w:r w:rsidRPr="006D5A88">
        <w:t xml:space="preserve"> </w:t>
      </w:r>
      <w:r>
        <w:t>για την περίπτωση ισόποσου αριθμού νοικοκυριών σε μονοκατοικίες και πολυκατοικίες.</w:t>
      </w:r>
    </w:p>
    <w:p w:rsidR="00BF0643" w:rsidRPr="00F71F27" w:rsidRDefault="00BF0643" w:rsidP="00BF0643">
      <w:r>
        <w:t>Δεδομένου ότι ο μέσος βαθμός απόδοσης του υφιστάμενου συστήματος θέρμανσης και του νέου συστήματος ισούται με 64% (σύστημα απλού λέβητα πετρελαίου θέρμανσης)</w:t>
      </w:r>
      <w:r>
        <w:rPr>
          <w:rStyle w:val="a8"/>
        </w:rPr>
        <w:footnoteReference w:id="2"/>
      </w:r>
      <w:r>
        <w:t xml:space="preserve"> και 99% αντίστοιχα και οι συντελεστές μετατροπής της τελικής ενέργειας σε πρωτογενή ενέργεια ανέρχονται σε 1,1 για την περίπτωση του πετρελαίου θέρμανσης και σε 0,7 για την περίπτωση </w:t>
      </w:r>
      <w:r>
        <w:rPr>
          <w:rFonts w:cs="Calibri"/>
        </w:rPr>
        <w:t>τ</w:t>
      </w:r>
      <w:r w:rsidRPr="00A82D77">
        <w:rPr>
          <w:rFonts w:cs="Calibri"/>
        </w:rPr>
        <w:t>ηλεθέρμανση</w:t>
      </w:r>
      <w:r>
        <w:rPr>
          <w:rFonts w:cs="Calibri"/>
        </w:rPr>
        <w:t xml:space="preserve">ς </w:t>
      </w:r>
      <w:r w:rsidRPr="00A82D77">
        <w:rPr>
          <w:rFonts w:cs="Calibri"/>
        </w:rPr>
        <w:t>από θερμικούς</w:t>
      </w:r>
      <w:r>
        <w:rPr>
          <w:rFonts w:cs="Calibri"/>
        </w:rPr>
        <w:t xml:space="preserve"> </w:t>
      </w:r>
      <w:r w:rsidRPr="00A82D77">
        <w:rPr>
          <w:rFonts w:cs="Calibri"/>
        </w:rPr>
        <w:t>σταθμούς ηλεκτροπαραγωγής</w:t>
      </w:r>
      <w:r>
        <w:rPr>
          <w:rStyle w:val="a8"/>
          <w:rFonts w:cs="Calibri"/>
        </w:rPr>
        <w:footnoteReference w:id="3"/>
      </w:r>
      <w:r>
        <w:rPr>
          <w:rFonts w:cs="Calibri"/>
        </w:rPr>
        <w:t>, η τιμή της μ</w:t>
      </w:r>
      <w:r>
        <w:t>είωσης της ετήσιας κατανάλωσης πρωτογενούς ενέργειας δικτύων τηλεθέρμανσης), ισούται με</w:t>
      </w:r>
      <w:r w:rsidRPr="00F71F27">
        <w:t>:</w:t>
      </w:r>
    </w:p>
    <w:p w:rsidR="00BF0643" w:rsidRPr="00DE2AD1" w:rsidRDefault="00BF0643" w:rsidP="00BF0643">
      <w:pPr>
        <w:jc w:val="center"/>
        <w:rPr>
          <w:rFonts w:cs="Calibri"/>
          <w:b/>
        </w:rPr>
      </w:pPr>
      <w:r w:rsidRPr="00DE2AD1">
        <w:rPr>
          <w:b/>
        </w:rPr>
        <w:t xml:space="preserve">(22.291 </w:t>
      </w:r>
      <w:r w:rsidRPr="00DE2AD1">
        <w:rPr>
          <w:b/>
          <w:lang w:val="en-US"/>
        </w:rPr>
        <w:t>MWh</w:t>
      </w:r>
      <w:r w:rsidRPr="00DE2AD1">
        <w:rPr>
          <w:b/>
        </w:rPr>
        <w:t>/64%) *</w:t>
      </w:r>
      <w:r w:rsidRPr="00DE2AD1">
        <w:rPr>
          <w:b/>
          <w:vertAlign w:val="superscript"/>
        </w:rPr>
        <w:t xml:space="preserve"> </w:t>
      </w:r>
      <w:r w:rsidRPr="00DE2AD1">
        <w:rPr>
          <w:b/>
        </w:rPr>
        <w:t xml:space="preserve">1,1 - (22.291 </w:t>
      </w:r>
      <w:r w:rsidRPr="00DE2AD1">
        <w:rPr>
          <w:b/>
          <w:lang w:val="en-US"/>
        </w:rPr>
        <w:t>MWh</w:t>
      </w:r>
      <w:r w:rsidRPr="00DE2AD1">
        <w:rPr>
          <w:b/>
        </w:rPr>
        <w:t>/99%)*</w:t>
      </w:r>
      <w:r w:rsidRPr="00DE2AD1">
        <w:rPr>
          <w:b/>
          <w:vertAlign w:val="superscript"/>
        </w:rPr>
        <w:t xml:space="preserve"> </w:t>
      </w:r>
      <w:r w:rsidRPr="00DE2AD1">
        <w:rPr>
          <w:b/>
        </w:rPr>
        <w:t xml:space="preserve">0,7 = 22.552 </w:t>
      </w:r>
      <w:proofErr w:type="spellStart"/>
      <w:r w:rsidRPr="00DE2AD1">
        <w:rPr>
          <w:rFonts w:cs="Calibri"/>
          <w:b/>
        </w:rPr>
        <w:t>ΜWh</w:t>
      </w:r>
      <w:proofErr w:type="spellEnd"/>
      <w:r w:rsidRPr="00DE2AD1">
        <w:rPr>
          <w:rFonts w:cs="Calibri"/>
          <w:b/>
        </w:rPr>
        <w:t>/έτος</w:t>
      </w:r>
    </w:p>
    <w:p w:rsidR="00BF0643" w:rsidRDefault="00BF0643" w:rsidP="00BF0643"/>
    <w:p w:rsidR="00BF0643" w:rsidRDefault="00BF0643" w:rsidP="00BF0643">
      <w:r>
        <w:t>Επομένως:</w:t>
      </w:r>
      <w:r w:rsidRPr="00D23E8C">
        <w:t xml:space="preserve"> </w:t>
      </w:r>
    </w:p>
    <w:p w:rsidR="00BF0643" w:rsidRDefault="00BF0643" w:rsidP="00BF0643">
      <w:pPr>
        <w:pBdr>
          <w:top w:val="single" w:sz="4" w:space="1" w:color="auto"/>
          <w:left w:val="single" w:sz="4" w:space="4" w:color="auto"/>
          <w:bottom w:val="single" w:sz="4" w:space="1" w:color="auto"/>
          <w:right w:val="single" w:sz="4" w:space="4" w:color="auto"/>
        </w:pBdr>
        <w:jc w:val="center"/>
      </w:pPr>
      <w:r>
        <w:t xml:space="preserve">για </w:t>
      </w:r>
      <w:r w:rsidRPr="00D23E8C">
        <w:t xml:space="preserve">διατιθέμενο Π/Υ = 10.000.000 € </w:t>
      </w:r>
    </w:p>
    <w:p w:rsidR="00BF0643" w:rsidRDefault="00BF0643" w:rsidP="00BF0643">
      <w:pPr>
        <w:pBdr>
          <w:top w:val="single" w:sz="4" w:space="1" w:color="auto"/>
          <w:left w:val="single" w:sz="4" w:space="4" w:color="auto"/>
          <w:bottom w:val="single" w:sz="4" w:space="1" w:color="auto"/>
          <w:right w:val="single" w:sz="4" w:space="4" w:color="auto"/>
        </w:pBdr>
        <w:jc w:val="center"/>
      </w:pPr>
      <w:r>
        <w:t xml:space="preserve">η </w:t>
      </w:r>
      <w:r>
        <w:rPr>
          <w:rFonts w:cs="Calibri"/>
        </w:rPr>
        <w:t>μ</w:t>
      </w:r>
      <w:r w:rsidRPr="00D23E8C">
        <w:t xml:space="preserve">είωση της ετήσιας κατανάλωσης πρωτογενούς ενέργειας </w:t>
      </w:r>
      <w:r>
        <w:t xml:space="preserve">υφιστάμενων δικτύων τηλεθέρμανσης είναι </w:t>
      </w:r>
    </w:p>
    <w:p w:rsidR="00BF0643" w:rsidRDefault="00BF0643" w:rsidP="00BF0643">
      <w:pPr>
        <w:pBdr>
          <w:top w:val="single" w:sz="4" w:space="1" w:color="auto"/>
          <w:left w:val="single" w:sz="4" w:space="4" w:color="auto"/>
          <w:bottom w:val="single" w:sz="4" w:space="1" w:color="auto"/>
          <w:right w:val="single" w:sz="4" w:space="4" w:color="auto"/>
        </w:pBdr>
        <w:jc w:val="center"/>
      </w:pPr>
      <w:r>
        <w:t>22.55</w:t>
      </w:r>
      <w:r w:rsidRPr="00462B72">
        <w:t>2</w:t>
      </w:r>
      <w:r w:rsidRPr="00DF178F">
        <w:t xml:space="preserve"> </w:t>
      </w:r>
      <w:proofErr w:type="spellStart"/>
      <w:r>
        <w:rPr>
          <w:rFonts w:cs="Calibri"/>
        </w:rPr>
        <w:t>Μ</w:t>
      </w:r>
      <w:r w:rsidRPr="00A87251">
        <w:rPr>
          <w:rFonts w:cs="Calibri"/>
        </w:rPr>
        <w:t>Wh</w:t>
      </w:r>
      <w:proofErr w:type="spellEnd"/>
      <w:r w:rsidRPr="00A87251">
        <w:rPr>
          <w:rFonts w:cs="Calibri"/>
        </w:rPr>
        <w:t>/</w:t>
      </w:r>
      <w:r>
        <w:rPr>
          <w:rFonts w:cs="Calibri"/>
        </w:rPr>
        <w:t>έτος</w:t>
      </w:r>
    </w:p>
    <w:p w:rsidR="00BF0643" w:rsidRDefault="00BF0643" w:rsidP="00BF0643"/>
    <w:p w:rsidR="00BF0643" w:rsidRPr="0086668A" w:rsidRDefault="00BF0643" w:rsidP="00BF0643">
      <w:r>
        <w:t xml:space="preserve">Για τον υπολογισμό του δείκτη εκροής </w:t>
      </w:r>
      <w:r>
        <w:rPr>
          <w:lang w:val="en-US"/>
        </w:rPr>
        <w:t>CO</w:t>
      </w:r>
      <w:r w:rsidRPr="00C341ED">
        <w:t>3</w:t>
      </w:r>
      <w:r>
        <w:t>4</w:t>
      </w:r>
      <w:r w:rsidRPr="00C341ED">
        <w:t xml:space="preserve"> (</w:t>
      </w:r>
      <w:r w:rsidRPr="003B6C36">
        <w:t>Εκτιμώμενη ετήσια μείωση των εκπομπών των αερίων θερμοκηπίου</w:t>
      </w:r>
      <w:r>
        <w:t xml:space="preserve">), χρησιμοποιήθηκαν οι συντελεστές εκπομπής </w:t>
      </w:r>
      <w:r>
        <w:rPr>
          <w:lang w:val="en-US"/>
        </w:rPr>
        <w:t>CO</w:t>
      </w:r>
      <w:r w:rsidRPr="0086668A">
        <w:rPr>
          <w:vertAlign w:val="subscript"/>
        </w:rPr>
        <w:t>2</w:t>
      </w:r>
      <w:r>
        <w:t xml:space="preserve"> για την περίπτωση του πετρελαίου θέρμανσης και για την περίπτωση </w:t>
      </w:r>
      <w:r>
        <w:rPr>
          <w:rFonts w:cs="Calibri"/>
        </w:rPr>
        <w:t>τ</w:t>
      </w:r>
      <w:r w:rsidRPr="00A82D77">
        <w:rPr>
          <w:rFonts w:cs="Calibri"/>
        </w:rPr>
        <w:t>ηλεθέρμανση</w:t>
      </w:r>
      <w:r>
        <w:rPr>
          <w:rFonts w:cs="Calibri"/>
        </w:rPr>
        <w:t xml:space="preserve">ς </w:t>
      </w:r>
      <w:r w:rsidRPr="00A82D77">
        <w:rPr>
          <w:rFonts w:cs="Calibri"/>
        </w:rPr>
        <w:t>από θερμικούς</w:t>
      </w:r>
      <w:r>
        <w:rPr>
          <w:rFonts w:cs="Calibri"/>
        </w:rPr>
        <w:t xml:space="preserve"> </w:t>
      </w:r>
      <w:r w:rsidRPr="00A82D77">
        <w:rPr>
          <w:rFonts w:cs="Calibri"/>
        </w:rPr>
        <w:t>σταθμούς ηλεκτροπαραγωγής</w:t>
      </w:r>
      <w:r>
        <w:rPr>
          <w:rStyle w:val="a8"/>
          <w:rFonts w:cs="Calibri"/>
        </w:rPr>
        <w:footnoteReference w:id="4"/>
      </w:r>
      <w:r>
        <w:rPr>
          <w:rFonts w:cs="Calibri"/>
        </w:rPr>
        <w:t>,</w:t>
      </w:r>
      <w:r w:rsidRPr="0086668A">
        <w:t xml:space="preserve"> </w:t>
      </w:r>
      <w:r>
        <w:t xml:space="preserve">οι οποίοι ανέρχονται σε 0,264 </w:t>
      </w:r>
      <w:proofErr w:type="spellStart"/>
      <w:r>
        <w:rPr>
          <w:lang w:val="en-US"/>
        </w:rPr>
        <w:t>tn</w:t>
      </w:r>
      <w:proofErr w:type="spellEnd"/>
      <w:r w:rsidRPr="0086668A">
        <w:t xml:space="preserve"> </w:t>
      </w:r>
      <w:r>
        <w:rPr>
          <w:lang w:val="en-US"/>
        </w:rPr>
        <w:t>CO</w:t>
      </w:r>
      <w:r w:rsidRPr="0086668A">
        <w:rPr>
          <w:vertAlign w:val="subscript"/>
        </w:rPr>
        <w:t>2</w:t>
      </w:r>
      <w:r w:rsidRPr="0086668A">
        <w:t>/</w:t>
      </w:r>
      <w:r>
        <w:rPr>
          <w:lang w:val="en-US"/>
        </w:rPr>
        <w:t>MWh</w:t>
      </w:r>
      <w:r w:rsidRPr="0086668A">
        <w:t xml:space="preserve"> </w:t>
      </w:r>
      <w:r>
        <w:t xml:space="preserve">και 0,347 </w:t>
      </w:r>
      <w:proofErr w:type="spellStart"/>
      <w:r>
        <w:rPr>
          <w:lang w:val="en-US"/>
        </w:rPr>
        <w:t>tn</w:t>
      </w:r>
      <w:proofErr w:type="spellEnd"/>
      <w:r w:rsidRPr="0086668A">
        <w:t xml:space="preserve"> </w:t>
      </w:r>
      <w:r>
        <w:rPr>
          <w:lang w:val="en-US"/>
        </w:rPr>
        <w:t>CO</w:t>
      </w:r>
      <w:r w:rsidRPr="0086668A">
        <w:rPr>
          <w:vertAlign w:val="subscript"/>
        </w:rPr>
        <w:t>2</w:t>
      </w:r>
      <w:r w:rsidRPr="0086668A">
        <w:t>/</w:t>
      </w:r>
      <w:r>
        <w:rPr>
          <w:lang w:val="en-US"/>
        </w:rPr>
        <w:t>MWh</w:t>
      </w:r>
      <w:r w:rsidRPr="0086668A">
        <w:t xml:space="preserve"> </w:t>
      </w:r>
      <w:r>
        <w:t>αντίστοιχα.</w:t>
      </w:r>
    </w:p>
    <w:p w:rsidR="00BF0643" w:rsidRPr="00F71F27" w:rsidRDefault="00BF0643" w:rsidP="00BF0643">
      <w:r>
        <w:rPr>
          <w:rFonts w:cs="Calibri"/>
        </w:rPr>
        <w:t xml:space="preserve">Συνεπώς, η τιμή του </w:t>
      </w:r>
      <w:r>
        <w:t xml:space="preserve">δείκτη εκροής </w:t>
      </w:r>
      <w:r>
        <w:rPr>
          <w:lang w:val="en-US"/>
        </w:rPr>
        <w:t>CO</w:t>
      </w:r>
      <w:r w:rsidRPr="00C341ED">
        <w:t>3</w:t>
      </w:r>
      <w:r>
        <w:t>4 ισούται με</w:t>
      </w:r>
      <w:r w:rsidRPr="00F71F27">
        <w:t>:</w:t>
      </w:r>
    </w:p>
    <w:p w:rsidR="00BF0643" w:rsidRPr="00DE2AD1" w:rsidRDefault="00BF0643" w:rsidP="00BF0643">
      <w:pPr>
        <w:jc w:val="center"/>
        <w:rPr>
          <w:rFonts w:cs="Calibri"/>
          <w:b/>
          <w:lang w:val="en-US"/>
        </w:rPr>
      </w:pPr>
      <w:r w:rsidRPr="00DE2AD1">
        <w:rPr>
          <w:b/>
          <w:lang w:val="en-US"/>
        </w:rPr>
        <w:t>(22.291 MWh/64%) *</w:t>
      </w:r>
      <w:r w:rsidRPr="00DE2AD1">
        <w:rPr>
          <w:b/>
          <w:vertAlign w:val="superscript"/>
          <w:lang w:val="en-US"/>
        </w:rPr>
        <w:t xml:space="preserve"> </w:t>
      </w:r>
      <w:r w:rsidRPr="00DE2AD1">
        <w:rPr>
          <w:b/>
          <w:lang w:val="en-US"/>
        </w:rPr>
        <w:t xml:space="preserve">0,264 </w:t>
      </w:r>
      <w:proofErr w:type="spellStart"/>
      <w:proofErr w:type="gramStart"/>
      <w:r w:rsidRPr="00DE2AD1">
        <w:rPr>
          <w:b/>
          <w:lang w:val="en-US"/>
        </w:rPr>
        <w:t>tn</w:t>
      </w:r>
      <w:proofErr w:type="spellEnd"/>
      <w:proofErr w:type="gramEnd"/>
      <w:r w:rsidRPr="00DE2AD1">
        <w:rPr>
          <w:b/>
          <w:lang w:val="en-US"/>
        </w:rPr>
        <w:t xml:space="preserve"> CO</w:t>
      </w:r>
      <w:r w:rsidRPr="00DE2AD1">
        <w:rPr>
          <w:b/>
          <w:vertAlign w:val="subscript"/>
          <w:lang w:val="en-US"/>
        </w:rPr>
        <w:t>2</w:t>
      </w:r>
      <w:r w:rsidRPr="00DE2AD1">
        <w:rPr>
          <w:b/>
          <w:lang w:val="en-US"/>
        </w:rPr>
        <w:t xml:space="preserve">/MWh - (22.291 MWh/99%)* 0,347 </w:t>
      </w:r>
      <w:proofErr w:type="spellStart"/>
      <w:r w:rsidRPr="00DE2AD1">
        <w:rPr>
          <w:b/>
          <w:lang w:val="en-US"/>
        </w:rPr>
        <w:t>tn</w:t>
      </w:r>
      <w:proofErr w:type="spellEnd"/>
      <w:r w:rsidRPr="00DE2AD1">
        <w:rPr>
          <w:b/>
          <w:lang w:val="en-US"/>
        </w:rPr>
        <w:t xml:space="preserve"> CO</w:t>
      </w:r>
      <w:r w:rsidRPr="00DE2AD1">
        <w:rPr>
          <w:b/>
          <w:vertAlign w:val="subscript"/>
          <w:lang w:val="en-US"/>
        </w:rPr>
        <w:t>2</w:t>
      </w:r>
      <w:r w:rsidRPr="00DE2AD1">
        <w:rPr>
          <w:b/>
          <w:lang w:val="en-US"/>
        </w:rPr>
        <w:t xml:space="preserve">/MWh = 1.382 </w:t>
      </w:r>
      <w:proofErr w:type="spellStart"/>
      <w:r w:rsidRPr="00DE2AD1">
        <w:rPr>
          <w:rFonts w:cs="Calibri"/>
          <w:b/>
          <w:lang w:val="en-US"/>
        </w:rPr>
        <w:t>tn</w:t>
      </w:r>
      <w:proofErr w:type="spellEnd"/>
      <w:r w:rsidRPr="00DE2AD1">
        <w:rPr>
          <w:rFonts w:cs="Calibri"/>
          <w:b/>
          <w:lang w:val="en-US"/>
        </w:rPr>
        <w:t xml:space="preserve"> CO</w:t>
      </w:r>
      <w:r w:rsidRPr="00DE2AD1">
        <w:rPr>
          <w:rFonts w:cs="Calibri"/>
          <w:b/>
          <w:vertAlign w:val="subscript"/>
          <w:lang w:val="en-US"/>
        </w:rPr>
        <w:t>2</w:t>
      </w:r>
      <w:r w:rsidRPr="00DE2AD1">
        <w:rPr>
          <w:rFonts w:cs="Calibri"/>
          <w:b/>
          <w:lang w:val="en-US"/>
        </w:rPr>
        <w:t>/</w:t>
      </w:r>
      <w:r w:rsidRPr="00DE2AD1">
        <w:rPr>
          <w:rFonts w:cs="Calibri"/>
          <w:b/>
        </w:rPr>
        <w:t>έτος</w:t>
      </w:r>
    </w:p>
    <w:p w:rsidR="00BF0643" w:rsidRPr="00BF0643" w:rsidRDefault="00BF0643" w:rsidP="00BF0643">
      <w:pPr>
        <w:rPr>
          <w:lang w:val="en-US"/>
        </w:rPr>
      </w:pPr>
    </w:p>
    <w:p w:rsidR="00BF0643" w:rsidRDefault="00BF0643" w:rsidP="00BF0643">
      <w:r>
        <w:t>Επομένως:</w:t>
      </w:r>
      <w:r w:rsidRPr="00D23E8C">
        <w:t xml:space="preserve"> </w:t>
      </w:r>
    </w:p>
    <w:p w:rsidR="00BF0643" w:rsidRDefault="00BF0643" w:rsidP="00BF0643">
      <w:pPr>
        <w:pBdr>
          <w:top w:val="single" w:sz="4" w:space="1" w:color="auto"/>
          <w:left w:val="single" w:sz="4" w:space="4" w:color="auto"/>
          <w:bottom w:val="single" w:sz="4" w:space="1" w:color="auto"/>
          <w:right w:val="single" w:sz="4" w:space="4" w:color="auto"/>
        </w:pBdr>
        <w:jc w:val="center"/>
      </w:pPr>
      <w:r>
        <w:t xml:space="preserve">για </w:t>
      </w:r>
      <w:r w:rsidRPr="00D23E8C">
        <w:t xml:space="preserve">διατιθέμενο Π/Υ = 10.000.000 € </w:t>
      </w:r>
    </w:p>
    <w:p w:rsidR="00BF0643" w:rsidRDefault="00BF0643" w:rsidP="00BF0643">
      <w:pPr>
        <w:pBdr>
          <w:top w:val="single" w:sz="4" w:space="1" w:color="auto"/>
          <w:left w:val="single" w:sz="4" w:space="4" w:color="auto"/>
          <w:bottom w:val="single" w:sz="4" w:space="1" w:color="auto"/>
          <w:right w:val="single" w:sz="4" w:space="4" w:color="auto"/>
        </w:pBdr>
        <w:jc w:val="center"/>
      </w:pPr>
      <w:r>
        <w:t xml:space="preserve">η </w:t>
      </w:r>
      <w:r>
        <w:rPr>
          <w:rFonts w:cs="Calibri"/>
        </w:rPr>
        <w:t xml:space="preserve"> τιμή του δείκτη </w:t>
      </w:r>
      <w:r>
        <w:rPr>
          <w:lang w:val="en-US"/>
        </w:rPr>
        <w:t>CO</w:t>
      </w:r>
      <w:r w:rsidRPr="00C341ED">
        <w:t>3</w:t>
      </w:r>
      <w:r>
        <w:t>4 είναι 1</w:t>
      </w:r>
      <w:r w:rsidRPr="0086668A">
        <w:t>.</w:t>
      </w:r>
      <w:r>
        <w:t>382</w:t>
      </w:r>
      <w:r w:rsidRPr="0086668A">
        <w:t xml:space="preserve"> </w:t>
      </w:r>
      <w:proofErr w:type="spellStart"/>
      <w:r>
        <w:rPr>
          <w:rFonts w:cs="Calibri"/>
          <w:lang w:val="en-US"/>
        </w:rPr>
        <w:t>tn</w:t>
      </w:r>
      <w:proofErr w:type="spellEnd"/>
      <w:r w:rsidRPr="0086668A">
        <w:rPr>
          <w:rFonts w:cs="Calibri"/>
        </w:rPr>
        <w:t xml:space="preserve"> </w:t>
      </w:r>
      <w:r>
        <w:rPr>
          <w:rFonts w:cs="Calibri"/>
          <w:lang w:val="en-US"/>
        </w:rPr>
        <w:t>CO</w:t>
      </w:r>
      <w:r w:rsidRPr="0086668A">
        <w:rPr>
          <w:rFonts w:cs="Calibri"/>
          <w:vertAlign w:val="subscript"/>
        </w:rPr>
        <w:t>2</w:t>
      </w:r>
      <w:r w:rsidRPr="0086668A">
        <w:rPr>
          <w:rFonts w:cs="Calibri"/>
        </w:rPr>
        <w:t>/</w:t>
      </w:r>
      <w:r>
        <w:rPr>
          <w:rFonts w:cs="Calibri"/>
        </w:rPr>
        <w:t>έτος</w:t>
      </w:r>
    </w:p>
    <w:p w:rsidR="00BF0643" w:rsidRDefault="00BF0643" w:rsidP="00BF0643"/>
    <w:p w:rsidR="00BF0643" w:rsidRDefault="00BF0643" w:rsidP="00BF0643">
      <w:pPr>
        <w:sectPr w:rsidR="00BF0643" w:rsidSect="00061E17">
          <w:pgSz w:w="11906" w:h="16838"/>
          <w:pgMar w:top="1440" w:right="991" w:bottom="1440" w:left="1134" w:header="708" w:footer="708" w:gutter="0"/>
          <w:cols w:space="708"/>
          <w:docGrid w:linePitch="360"/>
        </w:sectPr>
      </w:pPr>
    </w:p>
    <w:p w:rsidR="00BF0643" w:rsidRDefault="00BF0643" w:rsidP="00BF0643">
      <w:pPr>
        <w:spacing w:before="240" w:after="240"/>
        <w:rPr>
          <w:b/>
          <w:sz w:val="24"/>
          <w:szCs w:val="24"/>
        </w:rPr>
      </w:pPr>
      <w:r w:rsidRPr="0082266D">
        <w:rPr>
          <w:b/>
          <w:sz w:val="24"/>
          <w:szCs w:val="24"/>
        </w:rPr>
        <w:lastRenderedPageBreak/>
        <w:t>Παράρτημα</w:t>
      </w:r>
    </w:p>
    <w:p w:rsidR="00BF0643" w:rsidRPr="008574C6" w:rsidRDefault="00BF0643" w:rsidP="00BF0643">
      <w:pPr>
        <w:spacing w:before="240" w:after="240"/>
        <w:rPr>
          <w:b/>
        </w:rPr>
      </w:pPr>
      <w:r w:rsidRPr="008574C6">
        <w:rPr>
          <w:b/>
        </w:rPr>
        <w:t>Μεθοδολογική προσέγγιση</w:t>
      </w:r>
    </w:p>
    <w:p w:rsidR="00BF0643" w:rsidRPr="002C6002" w:rsidRDefault="00BF0643" w:rsidP="00BF0643">
      <w:pPr>
        <w:pStyle w:val="a3"/>
        <w:numPr>
          <w:ilvl w:val="0"/>
          <w:numId w:val="9"/>
        </w:numPr>
        <w:rPr>
          <w:b/>
        </w:rPr>
      </w:pPr>
      <w:r w:rsidRPr="002C6002">
        <w:rPr>
          <w:b/>
        </w:rPr>
        <w:t>Προσδιορισμός ονομαστικής θερμικής απαίτησης οικισμού</w:t>
      </w:r>
    </w:p>
    <w:p w:rsidR="00BF0643" w:rsidRPr="002C6002" w:rsidRDefault="00BF0643" w:rsidP="00BF0643">
      <w:r w:rsidRPr="002C6002">
        <w:t>Η ονομαστική θερμική ισχύς (</w:t>
      </w:r>
      <w:proofErr w:type="spellStart"/>
      <w:r w:rsidRPr="002C6002">
        <w:rPr>
          <w:b/>
        </w:rPr>
        <w:t>q</w:t>
      </w:r>
      <w:r w:rsidRPr="002C6002">
        <w:rPr>
          <w:b/>
          <w:vertAlign w:val="subscript"/>
        </w:rPr>
        <w:t>ον</w:t>
      </w:r>
      <w:proofErr w:type="spellEnd"/>
      <w:r w:rsidRPr="002C6002">
        <w:t>) της εγκατάστασης που καλύπτει τις απαιτήσεις των τυπικών αναγκών θέρμανσης και ζεστού νερού χρήσης ενός οικισμού δύναται να υπολογιστεί σε σχέση με τον πραγματικό πληθυσμό του οικισμού, σύμφωνα με την παρακάτω σχέση:</w:t>
      </w:r>
    </w:p>
    <w:p w:rsidR="00BF0643" w:rsidRPr="002C6002" w:rsidRDefault="00BF0643" w:rsidP="00BF0643">
      <w:proofErr w:type="spellStart"/>
      <w:r w:rsidRPr="002C6002">
        <w:rPr>
          <w:b/>
        </w:rPr>
        <w:t>q</w:t>
      </w:r>
      <w:r w:rsidRPr="002C6002">
        <w:rPr>
          <w:b/>
          <w:vertAlign w:val="subscript"/>
        </w:rPr>
        <w:t>ον</w:t>
      </w:r>
      <w:proofErr w:type="spellEnd"/>
      <w:r w:rsidRPr="002C6002">
        <w:rPr>
          <w:b/>
        </w:rPr>
        <w:t xml:space="preserve"> = 0,001 * π * 51,398 * π</w:t>
      </w:r>
      <w:r w:rsidRPr="002C6002">
        <w:rPr>
          <w:b/>
          <w:vertAlign w:val="superscript"/>
        </w:rPr>
        <w:t>(-0,2671)</w:t>
      </w:r>
      <w:r w:rsidRPr="002C6002">
        <w:t>,</w:t>
      </w:r>
      <w:r w:rsidRPr="002C6002">
        <w:rPr>
          <w:b/>
        </w:rPr>
        <w:tab/>
      </w:r>
      <w:r w:rsidRPr="002C6002">
        <w:rPr>
          <w:b/>
        </w:rPr>
        <w:tab/>
      </w:r>
      <w:proofErr w:type="spellStart"/>
      <w:r w:rsidRPr="002C6002">
        <w:t>MW</w:t>
      </w:r>
      <w:r w:rsidRPr="002C6002">
        <w:rPr>
          <w:vertAlign w:val="subscript"/>
        </w:rPr>
        <w:t>th</w:t>
      </w:r>
      <w:proofErr w:type="spellEnd"/>
    </w:p>
    <w:p w:rsidR="00BF0643" w:rsidRPr="002C6002" w:rsidRDefault="00BF0643" w:rsidP="00BF0643">
      <w:r w:rsidRPr="002C6002">
        <w:t xml:space="preserve">Όπου: </w:t>
      </w:r>
      <w:r w:rsidRPr="002C6002">
        <w:tab/>
      </w:r>
      <w:r w:rsidRPr="002C6002">
        <w:rPr>
          <w:b/>
        </w:rPr>
        <w:t xml:space="preserve">π </w:t>
      </w:r>
      <w:r w:rsidRPr="002C6002">
        <w:t>ο πραγματικός πληθυσμός του οικισμού.</w:t>
      </w:r>
    </w:p>
    <w:p w:rsidR="00BF0643" w:rsidRPr="002C6002" w:rsidRDefault="00BF0643" w:rsidP="00BF0643">
      <w:r w:rsidRPr="002C6002">
        <w:t>Η παραπάνω εμπειρική εξίσωση αναφέρεται σε οικισμούς της Δυτικής Μακεδονίας, κατά συνέπεια για τις υπόλοιπες περιοχές της Ελλάδας η εξίσωση αναπροσαρμόζεται με βάση τις ειδικές καταναλώσεις ανά κλιματική ζώνη και τελική χρήση σύμφωνα με την εφαρμογή του ΚΕΝΑΚ.</w:t>
      </w:r>
    </w:p>
    <w:p w:rsidR="00BF0643" w:rsidRPr="002C6002" w:rsidRDefault="00BF0643" w:rsidP="00BF0643">
      <w:pPr>
        <w:pStyle w:val="a3"/>
        <w:numPr>
          <w:ilvl w:val="0"/>
          <w:numId w:val="9"/>
        </w:numPr>
        <w:rPr>
          <w:b/>
        </w:rPr>
      </w:pPr>
      <w:bookmarkStart w:id="0" w:name="_Toc393202758"/>
      <w:r w:rsidRPr="002C6002">
        <w:rPr>
          <w:b/>
        </w:rPr>
        <w:t>Προσδιορισμός θερμικής ισχύος μεταφοράς θερμικής ενέργειας</w:t>
      </w:r>
      <w:bookmarkEnd w:id="0"/>
    </w:p>
    <w:p w:rsidR="00BF0643" w:rsidRPr="002C6002" w:rsidRDefault="00BF0643" w:rsidP="00BF0643">
      <w:r w:rsidRPr="002C6002">
        <w:t>Η θερμική ισχύς μεταφοράς προσδιορίζεται από την ονομαστική ισχύ με την παρακάτω σχέση:</w:t>
      </w:r>
    </w:p>
    <w:p w:rsidR="00BF0643" w:rsidRPr="002C6002" w:rsidRDefault="00BF0643" w:rsidP="00BF0643">
      <w:pPr>
        <w:rPr>
          <w:iCs/>
        </w:rPr>
      </w:pPr>
      <w:bookmarkStart w:id="1" w:name="_Toc393202760"/>
      <w:r w:rsidRPr="002C6002">
        <w:rPr>
          <w:b/>
          <w:iCs/>
          <w:lang w:val="en-US"/>
        </w:rPr>
        <w:t>Q</w:t>
      </w:r>
      <w:r w:rsidRPr="002C6002">
        <w:rPr>
          <w:b/>
          <w:iCs/>
          <w:vertAlign w:val="subscript"/>
        </w:rPr>
        <w:t>μετ</w:t>
      </w:r>
      <w:r w:rsidRPr="002C6002">
        <w:rPr>
          <w:iCs/>
        </w:rPr>
        <w:t xml:space="preserve"> = </w:t>
      </w:r>
      <w:r w:rsidRPr="002C6002">
        <w:rPr>
          <w:b/>
          <w:iCs/>
        </w:rPr>
        <w:t>ν *</w:t>
      </w:r>
      <w:r w:rsidRPr="002C6002">
        <w:rPr>
          <w:iCs/>
        </w:rPr>
        <w:t xml:space="preserve"> </w:t>
      </w:r>
      <w:r w:rsidRPr="002C6002">
        <w:rPr>
          <w:b/>
          <w:iCs/>
          <w:lang w:val="en-US"/>
        </w:rPr>
        <w:t>q</w:t>
      </w:r>
      <w:r w:rsidRPr="002C6002">
        <w:rPr>
          <w:b/>
          <w:iCs/>
          <w:vertAlign w:val="subscript"/>
        </w:rPr>
        <w:t>ον</w:t>
      </w:r>
    </w:p>
    <w:p w:rsidR="00BF0643" w:rsidRPr="002C6002" w:rsidRDefault="00BF0643" w:rsidP="00BF0643">
      <w:pPr>
        <w:rPr>
          <w:iCs/>
        </w:rPr>
      </w:pPr>
      <w:r w:rsidRPr="002C6002">
        <w:rPr>
          <w:iCs/>
        </w:rPr>
        <w:t xml:space="preserve">Όπου: </w:t>
      </w:r>
      <w:r w:rsidRPr="002C6002">
        <w:rPr>
          <w:b/>
          <w:iCs/>
        </w:rPr>
        <w:t>ν</w:t>
      </w:r>
      <w:r w:rsidRPr="002C6002">
        <w:rPr>
          <w:iCs/>
        </w:rPr>
        <w:t xml:space="preserve"> το ποσοστό της μεταφερόμενης θερμικής ισχύος</w:t>
      </w:r>
    </w:p>
    <w:p w:rsidR="00BF0643" w:rsidRPr="002C6002" w:rsidRDefault="00BF0643" w:rsidP="00BF0643">
      <w:r w:rsidRPr="002C6002">
        <w:t xml:space="preserve">Ως ποσοστό της ονομαστικής ισχύος </w:t>
      </w:r>
      <w:r w:rsidRPr="002C6002">
        <w:rPr>
          <w:b/>
        </w:rPr>
        <w:t>ν</w:t>
      </w:r>
      <w:r w:rsidRPr="002C6002">
        <w:t xml:space="preserve"> του οικισμού στους υπολογισμούς μας λαμβάνεται το 70% της ονομαστικής ισχύος, καθώς αποτελεί το επικρατέστερο ποσοστό κάλυψης σύμφωνα με υφιστάμενες μελέτες εφαρμογής στη Χώρα. Πιο συγκεκριμένα όταν μεταφέρεται θερμική ενέργεια από απόσταση με δίκτυο μεταφοράς, συνήθως από θερμική πηγή χαμηλού κόστους, τότε δεν είναι βέλτιστο να σχεδιάζεται δίκτυο μεταφοράς στο 100% των απαιτήσεων του οικισμού, αλλά κατά ένα μέρος της ονομαστικής ισχύος.</w:t>
      </w:r>
    </w:p>
    <w:p w:rsidR="00BF0643" w:rsidRPr="002C6002" w:rsidRDefault="00BF0643" w:rsidP="00BF0643">
      <w:pPr>
        <w:pStyle w:val="a3"/>
        <w:numPr>
          <w:ilvl w:val="0"/>
          <w:numId w:val="9"/>
        </w:numPr>
        <w:rPr>
          <w:b/>
        </w:rPr>
      </w:pPr>
      <w:r w:rsidRPr="002C6002">
        <w:rPr>
          <w:b/>
        </w:rPr>
        <w:t>Υπολογισμός κόστους δικτύων τηλεθέρμανσης/</w:t>
      </w:r>
      <w:proofErr w:type="spellStart"/>
      <w:r w:rsidRPr="002C6002">
        <w:rPr>
          <w:b/>
        </w:rPr>
        <w:t>τηλεψύξης</w:t>
      </w:r>
      <w:proofErr w:type="spellEnd"/>
      <w:r w:rsidRPr="002C6002">
        <w:rPr>
          <w:b/>
        </w:rPr>
        <w:t>:</w:t>
      </w:r>
    </w:p>
    <w:p w:rsidR="00BF0643" w:rsidRPr="002C6002" w:rsidRDefault="00BF0643" w:rsidP="00BF0643">
      <w:r w:rsidRPr="002C6002">
        <w:t>Για τον προσέγγιση του κόστους του δικτύου διανομής τηλεθέρμανσης (κυρίως δικτύου διανομής, κόστος διασύνδεσης κτιρίου και κόστος υποσταθμού τηλεθέρμανσης) χρησιμοποιήθηκαν τα δεδομένα των μελετών από τα δίκτυα τηλεθέρμανσης που είναι σε λειτουργία στην Ελληνική επικράτεια</w:t>
      </w:r>
      <w:r>
        <w:t>,</w:t>
      </w:r>
      <w:r w:rsidRPr="002C6002">
        <w:t xml:space="preserve"> έχουν ήδη δημοπρατηθεί και είναι στο στάδιο κατασκευής. Συγκεκριμένα τα δίκτυα διανομής των τηλεθερμάνσεων της Κοζάνης, της Πτολεμαΐδας, του Αμυνταίου, της Φλώρινας και της Μεγαλόπολης. Από τα δεδομένα των μελετών κατέστη δυνατό να προσεγγ</w:t>
      </w:r>
      <w:r>
        <w:t>ιστεί</w:t>
      </w:r>
      <w:r w:rsidRPr="002C6002">
        <w:t xml:space="preserve"> το κόστος των δικτύων διανομής.</w:t>
      </w:r>
    </w:p>
    <w:p w:rsidR="00BF0643" w:rsidRPr="002C6002" w:rsidRDefault="00BF0643" w:rsidP="00BF0643">
      <w:r w:rsidRPr="002C6002">
        <w:t>Βασικές παραδοχές για την περιγραφόμενη εκτίμηση κόστους είναι:</w:t>
      </w:r>
    </w:p>
    <w:p w:rsidR="00BF0643" w:rsidRPr="002C6002" w:rsidRDefault="00BF0643" w:rsidP="00BF0643">
      <w:pPr>
        <w:numPr>
          <w:ilvl w:val="0"/>
          <w:numId w:val="7"/>
        </w:numPr>
      </w:pPr>
      <w:r w:rsidRPr="002C6002">
        <w:t>Το μέσο μεταφοράς θερμικής ενέργειας είναι το θερμό / υπέρθερμο νερό, με μέγιστη θερμοκρασία τους 130</w:t>
      </w:r>
      <w:proofErr w:type="spellStart"/>
      <w:r w:rsidRPr="002C6002">
        <w:rPr>
          <w:vertAlign w:val="superscript"/>
          <w:lang w:val="en-US"/>
        </w:rPr>
        <w:t>o</w:t>
      </w:r>
      <w:r w:rsidRPr="002C6002">
        <w:rPr>
          <w:lang w:val="en-US"/>
        </w:rPr>
        <w:t>C</w:t>
      </w:r>
      <w:proofErr w:type="spellEnd"/>
      <w:r w:rsidRPr="002C6002">
        <w:t xml:space="preserve"> και ΔΤ=50</w:t>
      </w:r>
      <w:proofErr w:type="spellStart"/>
      <w:r w:rsidRPr="002C6002">
        <w:rPr>
          <w:vertAlign w:val="superscript"/>
          <w:lang w:val="en-US"/>
        </w:rPr>
        <w:t>o</w:t>
      </w:r>
      <w:r w:rsidRPr="002C6002">
        <w:rPr>
          <w:lang w:val="en-US"/>
        </w:rPr>
        <w:t>C</w:t>
      </w:r>
      <w:proofErr w:type="spellEnd"/>
      <w:r w:rsidRPr="002C6002">
        <w:t>.</w:t>
      </w:r>
    </w:p>
    <w:p w:rsidR="00BF0643" w:rsidRPr="002C6002" w:rsidRDefault="00BF0643" w:rsidP="00BF0643">
      <w:pPr>
        <w:numPr>
          <w:ilvl w:val="0"/>
          <w:numId w:val="7"/>
        </w:numPr>
      </w:pPr>
      <w:r w:rsidRPr="002C6002">
        <w:t xml:space="preserve">Τα δίκτυα μεταφοράς και διανομής της θερμικής ενέργειας είναι υπόγεια και αποτελούνται από </w:t>
      </w:r>
      <w:proofErr w:type="spellStart"/>
      <w:r w:rsidRPr="002C6002">
        <w:t>προμονωμένους</w:t>
      </w:r>
      <w:proofErr w:type="spellEnd"/>
      <w:r w:rsidRPr="002C6002">
        <w:t xml:space="preserve"> </w:t>
      </w:r>
      <w:proofErr w:type="spellStart"/>
      <w:r w:rsidRPr="002C6002">
        <w:t>χαλυβδοσωλήνες</w:t>
      </w:r>
      <w:proofErr w:type="spellEnd"/>
      <w:r w:rsidRPr="002C6002">
        <w:t xml:space="preserve"> με μόνωση από </w:t>
      </w:r>
      <w:proofErr w:type="spellStart"/>
      <w:r w:rsidRPr="002C6002">
        <w:t>πολυουρεθάνη</w:t>
      </w:r>
      <w:proofErr w:type="spellEnd"/>
      <w:r w:rsidRPr="002C6002">
        <w:t xml:space="preserve"> και προστατευτικό περίβλημα από πολυαιθυλένιο, που τοποθετούνται απευθείας εντός του εδάφους.</w:t>
      </w:r>
    </w:p>
    <w:p w:rsidR="00BF0643" w:rsidRPr="002C6002" w:rsidRDefault="00BF0643" w:rsidP="00BF0643">
      <w:pPr>
        <w:numPr>
          <w:ilvl w:val="0"/>
          <w:numId w:val="7"/>
        </w:numPr>
      </w:pPr>
      <w:r w:rsidRPr="002C6002">
        <w:lastRenderedPageBreak/>
        <w:t xml:space="preserve">Το σύστημα μεταφοράς – διανομής της θερμικής ενέργειας είναι το κλειστό </w:t>
      </w:r>
      <w:proofErr w:type="spellStart"/>
      <w:r w:rsidRPr="002C6002">
        <w:t>δισωλήνιο</w:t>
      </w:r>
      <w:proofErr w:type="spellEnd"/>
      <w:r w:rsidRPr="002C6002">
        <w:t>.</w:t>
      </w:r>
    </w:p>
    <w:p w:rsidR="00BF0643" w:rsidRPr="002C6002" w:rsidRDefault="00BF0643" w:rsidP="00BF0643">
      <w:r w:rsidRPr="002C6002">
        <w:t xml:space="preserve">Για την περίπτωση της </w:t>
      </w:r>
      <w:proofErr w:type="spellStart"/>
      <w:r w:rsidRPr="002C6002">
        <w:t>τηλεψύξης</w:t>
      </w:r>
      <w:proofErr w:type="spellEnd"/>
      <w:r w:rsidRPr="002C6002">
        <w:t xml:space="preserve"> παρόλο που δεν υπάρχουν δεδομένα από πραγματικά έργα μπορούμε να κάνουμε αναγωγή τόσο βάσει του ΔΤ όσο και του δυναμικού ψύξης: Συγκεκριμένα, το κόστος του Δικτύου </w:t>
      </w:r>
      <w:proofErr w:type="spellStart"/>
      <w:r w:rsidRPr="002C6002">
        <w:t>τηλεψύξης</w:t>
      </w:r>
      <w:proofErr w:type="spellEnd"/>
      <w:r w:rsidRPr="002C6002">
        <w:t xml:space="preserve"> </w:t>
      </w:r>
      <w:r w:rsidRPr="002C6002">
        <w:rPr>
          <w:lang w:val="en-US"/>
        </w:rPr>
        <w:t>C</w:t>
      </w:r>
      <w:proofErr w:type="spellStart"/>
      <w:r w:rsidRPr="002C6002">
        <w:rPr>
          <w:vertAlign w:val="subscript"/>
        </w:rPr>
        <w:t>τψ</w:t>
      </w:r>
      <w:proofErr w:type="spellEnd"/>
      <w:r w:rsidRPr="002C6002">
        <w:t xml:space="preserve"> στην περίπτωση αυτή μπορεί κατά προσέγγιση να υπολογιστεί βάσει του κόστους του δικτύου τηλεθέρμανσης του </w:t>
      </w:r>
      <m:oMath>
        <m:r>
          <m:rPr>
            <m:sty m:val="bi"/>
          </m:rPr>
          <w:rPr>
            <w:rFonts w:ascii="Cambria Math" w:hAnsi="Cambria Math"/>
          </w:rPr>
          <m:t>Δ</m:t>
        </m:r>
        <m:sSub>
          <m:sSubPr>
            <m:ctrlPr>
              <w:rPr>
                <w:rFonts w:ascii="Cambria Math" w:hAnsi="Cambria Math"/>
                <w:b/>
                <w:i/>
              </w:rPr>
            </m:ctrlPr>
          </m:sSubPr>
          <m:e>
            <m:r>
              <m:rPr>
                <m:sty m:val="bi"/>
              </m:rPr>
              <w:rPr>
                <w:rFonts w:ascii="Cambria Math" w:hAnsi="Cambria Math"/>
              </w:rPr>
              <m:t>Τ</m:t>
            </m:r>
          </m:e>
          <m:sub>
            <m:r>
              <m:rPr>
                <m:sty m:val="bi"/>
              </m:rPr>
              <w:rPr>
                <w:rFonts w:ascii="Cambria Math" w:hAnsi="Cambria Math"/>
              </w:rPr>
              <m:t>τψ</m:t>
            </m:r>
          </m:sub>
        </m:sSub>
      </m:oMath>
      <w:r w:rsidRPr="002C6002">
        <w:t xml:space="preserve"> αλλά και τον λόγο Δυναμικού ψύξης προς δυναμικό θέρμανσης του οικισμού ο προσεγγιστικό τύπος αναγωγής είναι παρακάτω:</w:t>
      </w:r>
    </w:p>
    <w:p w:rsidR="00BF0643" w:rsidRPr="002C6002" w:rsidRDefault="00BF0643" w:rsidP="00BF0643"/>
    <w:p w:rsidR="00BF0643" w:rsidRPr="002C6002" w:rsidRDefault="00BF0643" w:rsidP="00BF0643">
      <w:pPr>
        <w:rPr>
          <w:b/>
          <w:i/>
          <w:lang w:val="en-US"/>
        </w:rPr>
      </w:pPr>
      <m:oMathPara>
        <m:oMath>
          <m:sSub>
            <m:sSubPr>
              <m:ctrlPr>
                <w:rPr>
                  <w:rFonts w:ascii="Cambria Math" w:hAnsi="Cambria Math"/>
                  <w:b/>
                  <w:i/>
                  <w:lang w:val="en-US"/>
                </w:rPr>
              </m:ctrlPr>
            </m:sSubPr>
            <m:e>
              <m:r>
                <m:rPr>
                  <m:sty m:val="bi"/>
                </m:rPr>
                <w:rPr>
                  <w:rFonts w:ascii="Cambria Math" w:hAnsi="Cambria Math"/>
                  <w:lang w:val="en-US"/>
                </w:rPr>
                <m:t>C</m:t>
              </m:r>
            </m:e>
            <m:sub>
              <m:r>
                <m:rPr>
                  <m:sty m:val="bi"/>
                </m:rPr>
                <w:rPr>
                  <w:rFonts w:ascii="Cambria Math" w:hAnsi="Cambria Math"/>
                  <w:lang w:val="en-US"/>
                </w:rPr>
                <m:t>τψ</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C</m:t>
              </m:r>
              <m:ctrlPr>
                <w:rPr>
                  <w:rFonts w:ascii="Cambria Math" w:hAnsi="Cambria Math"/>
                  <w:b/>
                  <w:i/>
                  <w:lang w:val="en-US"/>
                </w:rPr>
              </m:ctrlPr>
            </m:e>
            <m:sub>
              <m:r>
                <m:rPr>
                  <m:sty m:val="bi"/>
                </m:rPr>
                <w:rPr>
                  <w:rFonts w:ascii="Cambria Math" w:hAnsi="Cambria Math"/>
                </w:rPr>
                <m:t>τθ</m:t>
              </m:r>
            </m:sub>
          </m:sSub>
          <m:rad>
            <m:radPr>
              <m:degHide m:val="1"/>
              <m:ctrlPr>
                <w:rPr>
                  <w:rFonts w:ascii="Cambria Math" w:hAnsi="Cambria Math"/>
                  <w:b/>
                  <w:i/>
                </w:rPr>
              </m:ctrlPr>
            </m:radPr>
            <m:deg/>
            <m:e>
              <m:f>
                <m:fPr>
                  <m:ctrlPr>
                    <w:rPr>
                      <w:rFonts w:ascii="Cambria Math" w:hAnsi="Cambria Math"/>
                      <w:b/>
                      <w:i/>
                    </w:rPr>
                  </m:ctrlPr>
                </m:fPr>
                <m:num>
                  <m:r>
                    <m:rPr>
                      <m:sty m:val="bi"/>
                    </m:rPr>
                    <w:rPr>
                      <w:rFonts w:ascii="Cambria Math" w:hAnsi="Cambria Math"/>
                    </w:rPr>
                    <m:t>50</m:t>
                  </m:r>
                </m:num>
                <m:den>
                  <m:r>
                    <m:rPr>
                      <m:sty m:val="bi"/>
                    </m:rPr>
                    <w:rPr>
                      <w:rFonts w:ascii="Cambria Math" w:hAnsi="Cambria Math"/>
                    </w:rPr>
                    <m:t>Δ</m:t>
                  </m:r>
                  <m:sSub>
                    <m:sSubPr>
                      <m:ctrlPr>
                        <w:rPr>
                          <w:rFonts w:ascii="Cambria Math" w:hAnsi="Cambria Math"/>
                          <w:b/>
                          <w:i/>
                        </w:rPr>
                      </m:ctrlPr>
                    </m:sSubPr>
                    <m:e>
                      <m:r>
                        <m:rPr>
                          <m:sty m:val="bi"/>
                        </m:rPr>
                        <w:rPr>
                          <w:rFonts w:ascii="Cambria Math" w:hAnsi="Cambria Math"/>
                        </w:rPr>
                        <m:t>Τ</m:t>
                      </m:r>
                    </m:e>
                    <m:sub>
                      <m:r>
                        <m:rPr>
                          <m:sty m:val="bi"/>
                        </m:rPr>
                        <w:rPr>
                          <w:rFonts w:ascii="Cambria Math" w:hAnsi="Cambria Math"/>
                        </w:rPr>
                        <m:t>τψ</m:t>
                      </m:r>
                    </m:sub>
                  </m:sSub>
                </m:den>
              </m:f>
            </m:e>
          </m:rad>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Q</m:t>
                  </m:r>
                </m:e>
                <m:sub>
                  <m:r>
                    <m:rPr>
                      <m:sty m:val="bi"/>
                    </m:rPr>
                    <w:rPr>
                      <w:rFonts w:ascii="Cambria Math" w:hAnsi="Cambria Math"/>
                    </w:rPr>
                    <m:t xml:space="preserve">τψ </m:t>
                  </m:r>
                </m:sub>
              </m:sSub>
            </m:num>
            <m:den>
              <m:r>
                <m:rPr>
                  <m:sty m:val="bi"/>
                </m:rPr>
                <w:rPr>
                  <w:rFonts w:ascii="Cambria Math" w:hAnsi="Cambria Math"/>
                  <w:lang w:val="en-US"/>
                </w:rPr>
                <m:t>Q</m:t>
              </m:r>
              <m:r>
                <m:rPr>
                  <m:sty m:val="bi"/>
                </m:rPr>
                <w:rPr>
                  <w:rFonts w:ascii="Cambria Math" w:hAnsi="Cambria Math"/>
                </w:rPr>
                <m:t>τθ</m:t>
              </m:r>
            </m:den>
          </m:f>
        </m:oMath>
      </m:oMathPara>
    </w:p>
    <w:p w:rsidR="00BF0643" w:rsidRDefault="00BF0643" w:rsidP="00BF0643"/>
    <w:p w:rsidR="00BF0643" w:rsidRPr="002C6002" w:rsidRDefault="00BF0643" w:rsidP="00BF0643">
      <w:r w:rsidRPr="002C6002">
        <w:t xml:space="preserve">Το </w:t>
      </w:r>
      <m:oMath>
        <m:r>
          <m:rPr>
            <m:sty m:val="bi"/>
          </m:rPr>
          <w:rPr>
            <w:rFonts w:ascii="Cambria Math" w:hAnsi="Cambria Math"/>
          </w:rPr>
          <m:t>Δ</m:t>
        </m:r>
        <m:sSub>
          <m:sSubPr>
            <m:ctrlPr>
              <w:rPr>
                <w:rFonts w:ascii="Cambria Math" w:hAnsi="Cambria Math"/>
                <w:b/>
                <w:i/>
              </w:rPr>
            </m:ctrlPr>
          </m:sSubPr>
          <m:e>
            <m:r>
              <m:rPr>
                <m:sty m:val="bi"/>
              </m:rPr>
              <w:rPr>
                <w:rFonts w:ascii="Cambria Math" w:hAnsi="Cambria Math"/>
              </w:rPr>
              <m:t>Τ</m:t>
            </m:r>
          </m:e>
          <m:sub>
            <m:r>
              <m:rPr>
                <m:sty m:val="bi"/>
              </m:rPr>
              <w:rPr>
                <w:rFonts w:ascii="Cambria Math" w:hAnsi="Cambria Math"/>
              </w:rPr>
              <m:t>τψ</m:t>
            </m:r>
          </m:sub>
        </m:sSub>
      </m:oMath>
      <w:r w:rsidRPr="002C6002">
        <w:t xml:space="preserve"> στην περίπτωση της τηλεψύξης κυμαίνεται στους 10</w:t>
      </w:r>
      <w:proofErr w:type="spellStart"/>
      <w:r w:rsidRPr="002C6002">
        <w:rPr>
          <w:vertAlign w:val="superscript"/>
        </w:rPr>
        <w:t>o</w:t>
      </w:r>
      <w:r w:rsidRPr="002C6002">
        <w:t>C</w:t>
      </w:r>
      <w:proofErr w:type="spellEnd"/>
    </w:p>
    <w:p w:rsidR="00BF0643" w:rsidRPr="002C6002" w:rsidRDefault="00BF0643" w:rsidP="00BF0643">
      <w:r w:rsidRPr="002C6002">
        <w:t xml:space="preserve">Σε κάθε περίπτωση, το κόστος των αγωγών </w:t>
      </w:r>
      <w:proofErr w:type="spellStart"/>
      <w:r w:rsidRPr="002C6002">
        <w:t>τηλεψύξης</w:t>
      </w:r>
      <w:proofErr w:type="spellEnd"/>
      <w:r w:rsidRPr="002C6002">
        <w:t xml:space="preserve"> είναι μικρότερο από το κόστος των αγωγών τηλεθέρμανσης και για τον λόγο αυτό στην ανάλυση που πραγματοποιείται η εγκατάσταση </w:t>
      </w:r>
      <w:proofErr w:type="spellStart"/>
      <w:r w:rsidRPr="002C6002">
        <w:t>διαστασιολογείται</w:t>
      </w:r>
      <w:proofErr w:type="spellEnd"/>
      <w:r w:rsidRPr="002C6002">
        <w:t xml:space="preserve"> βάση του κόστους των αγωγών τηλεθέρμανσης.</w:t>
      </w:r>
    </w:p>
    <w:p w:rsidR="00BF0643" w:rsidRPr="002C6002" w:rsidRDefault="00BF0643" w:rsidP="00BF0643">
      <w:pPr>
        <w:pStyle w:val="a3"/>
        <w:numPr>
          <w:ilvl w:val="0"/>
          <w:numId w:val="9"/>
        </w:numPr>
        <w:rPr>
          <w:b/>
        </w:rPr>
      </w:pPr>
      <w:r w:rsidRPr="002C6002">
        <w:rPr>
          <w:b/>
        </w:rPr>
        <w:t>Κόστος μονάδων παραγωγής θερμικής ενέργειας</w:t>
      </w:r>
      <w:bookmarkEnd w:id="1"/>
      <w:r w:rsidRPr="002C6002">
        <w:rPr>
          <w:b/>
        </w:rPr>
        <w:t xml:space="preserve"> και αντλιοστασίων</w:t>
      </w:r>
    </w:p>
    <w:p w:rsidR="00BF0643" w:rsidRDefault="00BF0643" w:rsidP="00BF0643">
      <w:r>
        <w:t>Παρακάτω παρουσιάζονται τα ενδεικτικά κόστη των μονάδων παραγωγής θερμικής ενέργειας:</w:t>
      </w:r>
    </w:p>
    <w:p w:rsidR="00BF0643" w:rsidRPr="002C6002" w:rsidRDefault="00BF0643" w:rsidP="00BF0643">
      <w:pPr>
        <w:numPr>
          <w:ilvl w:val="0"/>
          <w:numId w:val="7"/>
        </w:numPr>
      </w:pPr>
      <w:r w:rsidRPr="002C6002">
        <w:t>Μονάδα τηλεθέρμανσης με παραγωγή θερμικής ενέργειας με λέβητες καύσης φυσικού αερίου: 0,05</w:t>
      </w:r>
      <w:r>
        <w:t>-</w:t>
      </w:r>
      <w:r w:rsidRPr="002C6002">
        <w:t>0,15 Μ€/</w:t>
      </w:r>
      <w:proofErr w:type="spellStart"/>
      <w:r w:rsidRPr="002C6002">
        <w:t>MWth</w:t>
      </w:r>
      <w:proofErr w:type="spellEnd"/>
    </w:p>
    <w:p w:rsidR="00BF0643" w:rsidRPr="002C6002" w:rsidRDefault="00BF0643" w:rsidP="00BF0643">
      <w:pPr>
        <w:numPr>
          <w:ilvl w:val="0"/>
          <w:numId w:val="7"/>
        </w:numPr>
      </w:pPr>
      <w:r w:rsidRPr="002C6002">
        <w:t>Μονάδα τηλεθέρμανσης με παραγωγή θερμικής ενέργειας με λέβ</w:t>
      </w:r>
      <w:r>
        <w:t xml:space="preserve">ητες καύσης βιομάζας: 0,4–0,6 </w:t>
      </w:r>
      <w:r w:rsidRPr="002C6002">
        <w:t>Μ€/</w:t>
      </w:r>
      <w:proofErr w:type="spellStart"/>
      <w:r w:rsidRPr="002C6002">
        <w:t>MWth</w:t>
      </w:r>
      <w:proofErr w:type="spellEnd"/>
    </w:p>
    <w:p w:rsidR="00BF0643" w:rsidRPr="002C6002" w:rsidRDefault="00BF0643" w:rsidP="00BF0643">
      <w:pPr>
        <w:numPr>
          <w:ilvl w:val="0"/>
          <w:numId w:val="7"/>
        </w:numPr>
      </w:pPr>
      <w:r w:rsidRPr="002C6002">
        <w:t>Μονάδα τηλεθέρμανσης με παραγωγή θερμικής ενέργειας με ΣΗΘΥΑ και καύσιμο βιομά</w:t>
      </w:r>
      <w:r>
        <w:t xml:space="preserve">ζα, μικρής κλίμακας: 1,5-1,9 </w:t>
      </w:r>
      <w:r w:rsidRPr="002C6002">
        <w:t>Μ€/</w:t>
      </w:r>
      <w:proofErr w:type="spellStart"/>
      <w:r w:rsidRPr="002C6002">
        <w:t>MWth</w:t>
      </w:r>
      <w:proofErr w:type="spellEnd"/>
    </w:p>
    <w:p w:rsidR="00BF0643" w:rsidRPr="002C6002" w:rsidRDefault="00BF0643" w:rsidP="00BF0643">
      <w:pPr>
        <w:numPr>
          <w:ilvl w:val="0"/>
          <w:numId w:val="7"/>
        </w:numPr>
      </w:pPr>
      <w:r w:rsidRPr="002C6002">
        <w:t xml:space="preserve">Μονάδα τηλεθέρμανσης με παραγωγή θερμικής ενέργειας με ΣΗΘΥΑ και καύσιμο βιομάζα, </w:t>
      </w:r>
      <w:r>
        <w:t xml:space="preserve">μεσαίας κλίμακας: 1,2-1,4 </w:t>
      </w:r>
      <w:r w:rsidRPr="002C6002">
        <w:t>Μ€/</w:t>
      </w:r>
      <w:proofErr w:type="spellStart"/>
      <w:r w:rsidRPr="002C6002">
        <w:t>MWth</w:t>
      </w:r>
      <w:proofErr w:type="spellEnd"/>
    </w:p>
    <w:p w:rsidR="00BF0643" w:rsidRPr="002C6002" w:rsidRDefault="00BF0643" w:rsidP="00BF0643">
      <w:pPr>
        <w:numPr>
          <w:ilvl w:val="0"/>
          <w:numId w:val="7"/>
        </w:numPr>
      </w:pPr>
      <w:r w:rsidRPr="002C6002">
        <w:t>Μονάδα τηλεθέρμανσης με ανάκτηση θερμικής ενέργειας από βιομηχανία (π.χ. ΑΗΣ ΔΕΗ): 0,05</w:t>
      </w:r>
      <w:r>
        <w:t>-</w:t>
      </w:r>
      <w:r w:rsidRPr="002C6002">
        <w:t>0,12 Μ€/</w:t>
      </w:r>
      <w:proofErr w:type="spellStart"/>
      <w:r w:rsidRPr="002C6002">
        <w:t>MWth</w:t>
      </w:r>
      <w:proofErr w:type="spellEnd"/>
    </w:p>
    <w:p w:rsidR="00BF0643" w:rsidRPr="002C6002" w:rsidRDefault="00BF0643" w:rsidP="00BF0643">
      <w:r w:rsidRPr="002C6002">
        <w:t>Το κόστος των αντλιοστασίων καθώς και των υποδομών αποθήκευσης θερμικής ενέργειας  προσεγγίζετε με το</w:t>
      </w:r>
      <w:r>
        <w:t>ν</w:t>
      </w:r>
      <w:r w:rsidRPr="002C6002">
        <w:t xml:space="preserve"> παρακάτω πίνακα:</w:t>
      </w:r>
    </w:p>
    <w:tbl>
      <w:tblPr>
        <w:tblW w:w="0" w:type="auto"/>
        <w:jc w:val="center"/>
        <w:tblLook w:val="04A0" w:firstRow="1" w:lastRow="0" w:firstColumn="1" w:lastColumn="0" w:noHBand="0" w:noVBand="1"/>
      </w:tblPr>
      <w:tblGrid>
        <w:gridCol w:w="2432"/>
        <w:gridCol w:w="4435"/>
      </w:tblGrid>
      <w:tr w:rsidR="00BF0643" w:rsidRPr="002C6002" w:rsidTr="009B2B05">
        <w:trPr>
          <w:trHeight w:val="369"/>
          <w:jc w:val="center"/>
        </w:trPr>
        <w:tc>
          <w:tcPr>
            <w:tcW w:w="0" w:type="auto"/>
            <w:tcBorders>
              <w:top w:val="single" w:sz="4" w:space="0" w:color="000000"/>
              <w:left w:val="single" w:sz="4" w:space="0" w:color="000000"/>
              <w:bottom w:val="single" w:sz="8" w:space="0" w:color="000000"/>
              <w:right w:val="single" w:sz="4" w:space="0" w:color="000000"/>
            </w:tcBorders>
            <w:shd w:val="clear" w:color="auto" w:fill="D9D9D9" w:themeFill="background1" w:themeFillShade="D9"/>
            <w:noWrap/>
            <w:vAlign w:val="bottom"/>
            <w:hideMark/>
          </w:tcPr>
          <w:p w:rsidR="00BF0643" w:rsidRPr="002C6002" w:rsidRDefault="00BF0643" w:rsidP="009B2B05">
            <w:pPr>
              <w:spacing w:after="0" w:line="240" w:lineRule="auto"/>
              <w:jc w:val="center"/>
              <w:rPr>
                <w:b/>
                <w:bCs/>
              </w:rPr>
            </w:pPr>
            <w:r w:rsidRPr="002C6002">
              <w:rPr>
                <w:b/>
                <w:bCs/>
              </w:rPr>
              <w:t>Είδος οικισμοί</w:t>
            </w:r>
          </w:p>
        </w:tc>
        <w:tc>
          <w:tcPr>
            <w:tcW w:w="4435" w:type="dxa"/>
            <w:tcBorders>
              <w:top w:val="single" w:sz="4" w:space="0" w:color="000000"/>
              <w:left w:val="single" w:sz="4" w:space="0" w:color="000000"/>
              <w:bottom w:val="single" w:sz="8" w:space="0" w:color="000000"/>
              <w:right w:val="single" w:sz="4" w:space="0" w:color="000000"/>
            </w:tcBorders>
            <w:shd w:val="clear" w:color="auto" w:fill="D9D9D9" w:themeFill="background1" w:themeFillShade="D9"/>
            <w:noWrap/>
            <w:vAlign w:val="bottom"/>
            <w:hideMark/>
          </w:tcPr>
          <w:p w:rsidR="00BF0643" w:rsidRPr="002C6002" w:rsidRDefault="00BF0643" w:rsidP="009B2B05">
            <w:pPr>
              <w:spacing w:after="0" w:line="240" w:lineRule="auto"/>
              <w:jc w:val="center"/>
              <w:rPr>
                <w:b/>
                <w:bCs/>
              </w:rPr>
            </w:pPr>
            <w:r w:rsidRPr="002C6002">
              <w:rPr>
                <w:b/>
                <w:bCs/>
              </w:rPr>
              <w:t>Κόστος ως ποσοστό του κόστους δικτύων (μεταφορά + διανομή)</w:t>
            </w:r>
          </w:p>
        </w:tc>
      </w:tr>
      <w:tr w:rsidR="00BF0643" w:rsidRPr="002C6002" w:rsidTr="009B2B05">
        <w:trPr>
          <w:trHeight w:val="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F0643" w:rsidRPr="002C6002" w:rsidRDefault="00BF0643" w:rsidP="009B2B05">
            <w:pPr>
              <w:spacing w:after="0" w:line="240" w:lineRule="auto"/>
              <w:jc w:val="center"/>
            </w:pPr>
            <w:r w:rsidRPr="002C6002">
              <w:t>Κωμοπόλεις 2000-10000</w:t>
            </w:r>
          </w:p>
        </w:tc>
        <w:tc>
          <w:tcPr>
            <w:tcW w:w="443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F0643" w:rsidRPr="002C6002" w:rsidRDefault="00BF0643" w:rsidP="009B2B05">
            <w:pPr>
              <w:spacing w:after="0" w:line="240" w:lineRule="auto"/>
              <w:jc w:val="center"/>
            </w:pPr>
            <w:r w:rsidRPr="002C6002">
              <w:t>10%</w:t>
            </w:r>
          </w:p>
        </w:tc>
      </w:tr>
      <w:tr w:rsidR="00BF0643" w:rsidRPr="002C6002" w:rsidTr="009B2B05">
        <w:trPr>
          <w:trHeight w:val="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F0643" w:rsidRPr="002C6002" w:rsidRDefault="00BF0643" w:rsidP="009B2B05">
            <w:pPr>
              <w:spacing w:after="0" w:line="240" w:lineRule="auto"/>
              <w:jc w:val="center"/>
            </w:pPr>
            <w:r w:rsidRPr="002C6002">
              <w:t>Αστικός ιστός &gt;10000</w:t>
            </w:r>
          </w:p>
        </w:tc>
        <w:tc>
          <w:tcPr>
            <w:tcW w:w="443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F0643" w:rsidRPr="002C6002" w:rsidRDefault="00BF0643" w:rsidP="009B2B05">
            <w:pPr>
              <w:spacing w:after="0" w:line="240" w:lineRule="auto"/>
              <w:jc w:val="center"/>
            </w:pPr>
            <w:r w:rsidRPr="002C6002">
              <w:t>5%</w:t>
            </w:r>
          </w:p>
        </w:tc>
      </w:tr>
    </w:tbl>
    <w:p w:rsidR="00BF0643" w:rsidRDefault="00BF0643" w:rsidP="00BF0643">
      <w:pPr>
        <w:jc w:val="center"/>
        <w:rPr>
          <w:bCs/>
          <w:iCs/>
        </w:rPr>
      </w:pPr>
    </w:p>
    <w:p w:rsidR="00BF0643" w:rsidRPr="002C6002" w:rsidRDefault="00BF0643" w:rsidP="00BF0643">
      <w:pPr>
        <w:jc w:val="center"/>
        <w:rPr>
          <w:bCs/>
          <w:iCs/>
        </w:rPr>
      </w:pPr>
    </w:p>
    <w:p w:rsidR="00BF0643" w:rsidRPr="002C6002" w:rsidRDefault="00BF0643" w:rsidP="00BF0643">
      <w:pPr>
        <w:pStyle w:val="a3"/>
        <w:numPr>
          <w:ilvl w:val="0"/>
          <w:numId w:val="9"/>
        </w:numPr>
        <w:rPr>
          <w:b/>
        </w:rPr>
      </w:pPr>
      <w:bookmarkStart w:id="2" w:name="_Toc393202761"/>
      <w:r w:rsidRPr="002C6002">
        <w:rPr>
          <w:b/>
        </w:rPr>
        <w:lastRenderedPageBreak/>
        <w:t>Κόστος δικτύου μεταφοράς θερμικής ενέργειας</w:t>
      </w:r>
      <w:bookmarkEnd w:id="2"/>
    </w:p>
    <w:p w:rsidR="00BF0643" w:rsidRPr="002C6002" w:rsidRDefault="00BF0643" w:rsidP="00BF0643">
      <w:r w:rsidRPr="002C6002">
        <w:t xml:space="preserve">Το κόστος μεταφοράς θερμικής ενέργειας </w:t>
      </w:r>
      <w:r w:rsidRPr="002C6002">
        <w:rPr>
          <w:b/>
        </w:rPr>
        <w:t>Κ</w:t>
      </w:r>
      <w:r w:rsidRPr="002C6002">
        <w:t xml:space="preserve"> υπολογίζεται σε συνάρτηση με την απόσταση μεταφοράς </w:t>
      </w:r>
      <w:r w:rsidRPr="002C6002">
        <w:rPr>
          <w:lang w:val="en-US"/>
        </w:rPr>
        <w:t>L</w:t>
      </w:r>
      <w:r w:rsidRPr="002C6002">
        <w:t xml:space="preserve"> (</w:t>
      </w:r>
      <w:r w:rsidRPr="002C6002">
        <w:rPr>
          <w:lang w:val="en-US"/>
        </w:rPr>
        <w:t>Km</w:t>
      </w:r>
      <w:r w:rsidRPr="002C6002">
        <w:t>) ως ακολούθως:</w:t>
      </w:r>
    </w:p>
    <w:p w:rsidR="00BF0643" w:rsidRPr="002C6002" w:rsidRDefault="00BF0643" w:rsidP="00BF0643">
      <w:pPr>
        <w:rPr>
          <w:b/>
        </w:rPr>
      </w:pPr>
      <w:r w:rsidRPr="002C6002">
        <w:rPr>
          <w:b/>
        </w:rPr>
        <w:t xml:space="preserve">Κ = κ * </w:t>
      </w:r>
      <w:r w:rsidRPr="002C6002">
        <w:rPr>
          <w:b/>
          <w:lang w:val="en-US"/>
        </w:rPr>
        <w:t>L</w:t>
      </w:r>
      <w:r w:rsidRPr="002C6002">
        <w:rPr>
          <w:b/>
        </w:rPr>
        <w:t xml:space="preserve"> * </w:t>
      </w:r>
      <w:r w:rsidRPr="002C6002">
        <w:rPr>
          <w:b/>
          <w:iCs/>
          <w:lang w:val="en-US"/>
        </w:rPr>
        <w:t>Q</w:t>
      </w:r>
      <w:r w:rsidRPr="002C6002">
        <w:rPr>
          <w:b/>
          <w:iCs/>
          <w:vertAlign w:val="subscript"/>
        </w:rPr>
        <w:t>μετ</w:t>
      </w:r>
    </w:p>
    <w:p w:rsidR="00BF0643" w:rsidRPr="002C6002" w:rsidRDefault="00BF0643" w:rsidP="00BF0643">
      <w:r w:rsidRPr="002C6002">
        <w:t xml:space="preserve">Όπου: </w:t>
      </w:r>
      <w:r w:rsidRPr="002C6002">
        <w:rPr>
          <w:b/>
        </w:rPr>
        <w:t>κ</w:t>
      </w:r>
      <w:r w:rsidRPr="002C6002">
        <w:t xml:space="preserve"> το ειδικό κόστος μεταφοράς θερμικής ενέργειας που υπολογίζεται σύμφωνα με τη παρακάτω σχέση: </w:t>
      </w:r>
    </w:p>
    <w:p w:rsidR="00BF0643" w:rsidRPr="002C6002" w:rsidRDefault="00BF0643" w:rsidP="00BF0643">
      <w:r w:rsidRPr="002C6002">
        <w:rPr>
          <w:b/>
        </w:rPr>
        <w:t xml:space="preserve">κ = 155764 * </w:t>
      </w:r>
      <w:r w:rsidRPr="002C6002">
        <w:rPr>
          <w:b/>
          <w:iCs/>
          <w:lang w:val="en-US"/>
        </w:rPr>
        <w:t>Q</w:t>
      </w:r>
      <w:r w:rsidRPr="002C6002">
        <w:rPr>
          <w:b/>
          <w:iCs/>
          <w:vertAlign w:val="subscript"/>
        </w:rPr>
        <w:t>μετ</w:t>
      </w:r>
      <w:r w:rsidRPr="002C6002">
        <w:rPr>
          <w:b/>
          <w:vertAlign w:val="superscript"/>
        </w:rPr>
        <w:t>(-0,5199)</w:t>
      </w:r>
      <w:r w:rsidRPr="002C6002">
        <w:t>,</w:t>
      </w:r>
      <w:r w:rsidRPr="002C6002">
        <w:tab/>
      </w:r>
      <w:r w:rsidRPr="002C6002">
        <w:tab/>
        <w:t>€/</w:t>
      </w:r>
      <w:r w:rsidRPr="002C6002">
        <w:rPr>
          <w:lang w:val="en-US"/>
        </w:rPr>
        <w:t>MW</w:t>
      </w:r>
      <w:r w:rsidRPr="002C6002">
        <w:t>/</w:t>
      </w:r>
      <w:r w:rsidRPr="002C6002">
        <w:rPr>
          <w:lang w:val="en-US"/>
        </w:rPr>
        <w:t>Km</w:t>
      </w:r>
    </w:p>
    <w:p w:rsidR="00BF0643" w:rsidRPr="002C6002" w:rsidRDefault="00BF0643" w:rsidP="00BF0643">
      <w:r w:rsidRPr="002C6002">
        <w:rPr>
          <w:b/>
          <w:iCs/>
          <w:lang w:val="en-US"/>
        </w:rPr>
        <w:t>Q</w:t>
      </w:r>
      <w:r w:rsidRPr="002C6002">
        <w:rPr>
          <w:b/>
          <w:iCs/>
          <w:vertAlign w:val="subscript"/>
        </w:rPr>
        <w:t>μετ</w:t>
      </w:r>
      <w:r w:rsidRPr="002C6002">
        <w:t xml:space="preserve">: </w:t>
      </w:r>
      <w:r w:rsidRPr="002C6002">
        <w:tab/>
        <w:t xml:space="preserve">η θερμική ισχύς μεταφοράς όπως υπολογίσθηκε παραπάνω, σε </w:t>
      </w:r>
      <w:proofErr w:type="spellStart"/>
      <w:r w:rsidRPr="002C6002">
        <w:rPr>
          <w:lang w:val="en-US"/>
        </w:rPr>
        <w:t>MW</w:t>
      </w:r>
      <w:r w:rsidRPr="002C6002">
        <w:rPr>
          <w:vertAlign w:val="subscript"/>
          <w:lang w:val="en-US"/>
        </w:rPr>
        <w:t>th</w:t>
      </w:r>
      <w:proofErr w:type="spellEnd"/>
      <w:r w:rsidRPr="002C6002">
        <w:t>.</w:t>
      </w:r>
    </w:p>
    <w:p w:rsidR="00BF0643" w:rsidRPr="002C6002" w:rsidRDefault="00BF0643" w:rsidP="00BF0643">
      <w:pPr>
        <w:pStyle w:val="a3"/>
        <w:numPr>
          <w:ilvl w:val="0"/>
          <w:numId w:val="9"/>
        </w:numPr>
        <w:rPr>
          <w:b/>
        </w:rPr>
      </w:pPr>
      <w:bookmarkStart w:id="3" w:name="_Toc393202762"/>
      <w:r w:rsidRPr="002C6002">
        <w:rPr>
          <w:b/>
        </w:rPr>
        <w:t>Κόστος δικτύου διανομής θερμικής ενέργειας</w:t>
      </w:r>
      <w:bookmarkEnd w:id="3"/>
    </w:p>
    <w:p w:rsidR="00BF0643" w:rsidRPr="002C6002" w:rsidRDefault="00BF0643" w:rsidP="00BF0643">
      <w:r w:rsidRPr="002C6002">
        <w:t xml:space="preserve">Το κόστος του δικτύου διανομής </w:t>
      </w:r>
      <w:r w:rsidRPr="002C6002">
        <w:rPr>
          <w:b/>
        </w:rPr>
        <w:t>Κ</w:t>
      </w:r>
      <w:r w:rsidRPr="002C6002">
        <w:t xml:space="preserve"> σχετίζεται με το μέγεθος του οικισμού και προσδιορίζεται από τις παρακάτω σχέσεις: </w:t>
      </w:r>
    </w:p>
    <w:p w:rsidR="00BF0643" w:rsidRPr="002C6002" w:rsidRDefault="00BF0643" w:rsidP="00BF0643">
      <w:pPr>
        <w:rPr>
          <w:b/>
        </w:rPr>
      </w:pPr>
      <w:r w:rsidRPr="002C6002">
        <w:rPr>
          <w:b/>
        </w:rPr>
        <w:t>Κ = κ * π (€)</w:t>
      </w:r>
    </w:p>
    <w:p w:rsidR="00BF0643" w:rsidRPr="002C6002" w:rsidRDefault="00BF0643" w:rsidP="00BF0643">
      <w:r w:rsidRPr="002C6002">
        <w:t xml:space="preserve">Όπου: </w:t>
      </w:r>
      <w:r w:rsidRPr="002C6002">
        <w:rPr>
          <w:b/>
        </w:rPr>
        <w:t>κ = 7000 * π</w:t>
      </w:r>
      <w:r w:rsidRPr="002C6002">
        <w:rPr>
          <w:b/>
          <w:vertAlign w:val="superscript"/>
        </w:rPr>
        <w:t>^(-0,1889)</w:t>
      </w:r>
      <w:r w:rsidRPr="002C6002">
        <w:t xml:space="preserve">  €/κάτοικο: το ειδικό κόστος</w:t>
      </w:r>
      <w:r w:rsidRPr="002C6002">
        <w:rPr>
          <w:b/>
        </w:rPr>
        <w:t xml:space="preserve"> </w:t>
      </w:r>
      <w:r w:rsidRPr="002C6002">
        <w:t xml:space="preserve">και </w:t>
      </w:r>
    </w:p>
    <w:p w:rsidR="00BF0643" w:rsidRPr="002C6002" w:rsidRDefault="00BF0643" w:rsidP="00BF0643">
      <w:r w:rsidRPr="002C6002">
        <w:rPr>
          <w:b/>
        </w:rPr>
        <w:t>π:</w:t>
      </w:r>
      <w:r w:rsidRPr="002C6002">
        <w:rPr>
          <w:b/>
        </w:rPr>
        <w:tab/>
      </w:r>
      <w:r w:rsidRPr="002C6002">
        <w:t xml:space="preserve"> ο πραγματικός πληθυσμός του οικισμού.</w:t>
      </w:r>
    </w:p>
    <w:p w:rsidR="00BF0643" w:rsidRPr="002C6002" w:rsidRDefault="00BF0643" w:rsidP="00BF0643">
      <w:r w:rsidRPr="002C6002">
        <w:t>Ο υπολογισμός λαμβάνει υπόψη σχεδιασμό για τα κλιματολογικά δεδομένα της Δυτικής Μακεδονίας, κατά συνέπεια για άλλες περιοχές της Ελλάδας το αποτέλεσμα θα πρέπει να ελαττωθεί ανάλογα.</w:t>
      </w:r>
    </w:p>
    <w:p w:rsidR="00BF0643" w:rsidRPr="0082266D" w:rsidRDefault="00BF0643" w:rsidP="00BF0643">
      <w:pPr>
        <w:rPr>
          <w:b/>
          <w:sz w:val="24"/>
          <w:szCs w:val="24"/>
        </w:rPr>
      </w:pPr>
      <w:r>
        <w:rPr>
          <w:b/>
          <w:sz w:val="24"/>
          <w:szCs w:val="24"/>
        </w:rPr>
        <w:t>Υπολογισμοί</w:t>
      </w:r>
    </w:p>
    <w:p w:rsidR="00BF0643" w:rsidRDefault="00BF0643" w:rsidP="00BF0643">
      <w:r>
        <w:t>Οι παραδοχές και οι υπολογισμοί συνοψίζονται στον ακόλουθο πίνακα:</w:t>
      </w:r>
    </w:p>
    <w:tbl>
      <w:tblPr>
        <w:tblW w:w="6960" w:type="dxa"/>
        <w:jc w:val="center"/>
        <w:tblLook w:val="04A0" w:firstRow="1" w:lastRow="0" w:firstColumn="1" w:lastColumn="0" w:noHBand="0" w:noVBand="1"/>
      </w:tblPr>
      <w:tblGrid>
        <w:gridCol w:w="4880"/>
        <w:gridCol w:w="1120"/>
        <w:gridCol w:w="960"/>
      </w:tblGrid>
      <w:tr w:rsidR="00BF0643" w:rsidRPr="00216B23" w:rsidTr="009B2B05">
        <w:trPr>
          <w:trHeight w:val="300"/>
          <w:jc w:val="center"/>
        </w:trPr>
        <w:tc>
          <w:tcPr>
            <w:tcW w:w="48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Πρ</w:t>
            </w:r>
            <w:proofErr w:type="spellEnd"/>
            <w:r w:rsidRPr="00216B23">
              <w:rPr>
                <w:rFonts w:ascii="Calibri" w:eastAsia="Times New Roman" w:hAnsi="Calibri" w:cs="Calibri"/>
                <w:b/>
                <w:bCs/>
                <w:color w:val="000000"/>
                <w:lang w:val="en-US"/>
              </w:rPr>
              <w:t>αγματικός π</w:t>
            </w:r>
            <w:proofErr w:type="spellStart"/>
            <w:r w:rsidRPr="00216B23">
              <w:rPr>
                <w:rFonts w:ascii="Calibri" w:eastAsia="Times New Roman" w:hAnsi="Calibri" w:cs="Calibri"/>
                <w:b/>
                <w:bCs/>
                <w:color w:val="000000"/>
                <w:lang w:val="en-US"/>
              </w:rPr>
              <w:t>ληθυσμός</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του</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οικισμού</w:t>
            </w:r>
            <w:proofErr w:type="spellEnd"/>
          </w:p>
        </w:tc>
        <w:tc>
          <w:tcPr>
            <w:tcW w:w="1120" w:type="dxa"/>
            <w:tcBorders>
              <w:top w:val="single" w:sz="4" w:space="0" w:color="auto"/>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2</w:t>
            </w:r>
            <w:r>
              <w:rPr>
                <w:rFonts w:ascii="Calibri" w:eastAsia="Times New Roman" w:hAnsi="Calibri" w:cs="Calibri"/>
                <w:color w:val="000000"/>
              </w:rPr>
              <w:t>.</w:t>
            </w:r>
            <w:r w:rsidRPr="004767CC">
              <w:rPr>
                <w:rFonts w:ascii="Calibri" w:eastAsia="Times New Roman" w:hAnsi="Calibri" w:cs="Calibri"/>
                <w:color w:val="000000"/>
                <w:lang w:val="en-US"/>
              </w:rPr>
              <w:t>500</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 </w:t>
            </w:r>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Ονομ</w:t>
            </w:r>
            <w:proofErr w:type="spellEnd"/>
            <w:r w:rsidRPr="00216B23">
              <w:rPr>
                <w:rFonts w:ascii="Calibri" w:eastAsia="Times New Roman" w:hAnsi="Calibri" w:cs="Calibri"/>
                <w:b/>
                <w:bCs/>
                <w:color w:val="000000"/>
                <w:lang w:val="en-US"/>
              </w:rPr>
              <w:t xml:space="preserve">αστική </w:t>
            </w:r>
            <w:proofErr w:type="spellStart"/>
            <w:r w:rsidRPr="00216B23">
              <w:rPr>
                <w:rFonts w:ascii="Calibri" w:eastAsia="Times New Roman" w:hAnsi="Calibri" w:cs="Calibri"/>
                <w:b/>
                <w:bCs/>
                <w:color w:val="000000"/>
                <w:lang w:val="en-US"/>
              </w:rPr>
              <w:t>θερμική</w:t>
            </w:r>
            <w:proofErr w:type="spellEnd"/>
            <w:r w:rsidRPr="00216B23">
              <w:rPr>
                <w:rFonts w:ascii="Calibri" w:eastAsia="Times New Roman" w:hAnsi="Calibri" w:cs="Calibri"/>
                <w:b/>
                <w:bCs/>
                <w:color w:val="000000"/>
                <w:lang w:val="en-US"/>
              </w:rPr>
              <w:t xml:space="preserve"> απα</w:t>
            </w:r>
            <w:proofErr w:type="spellStart"/>
            <w:r w:rsidRPr="00216B23">
              <w:rPr>
                <w:rFonts w:ascii="Calibri" w:eastAsia="Times New Roman" w:hAnsi="Calibri" w:cs="Calibri"/>
                <w:b/>
                <w:bCs/>
                <w:color w:val="000000"/>
                <w:lang w:val="en-US"/>
              </w:rPr>
              <w:t>ίτηση</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οικισμού</w:t>
            </w:r>
            <w:proofErr w:type="spellEnd"/>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16</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proofErr w:type="spellStart"/>
            <w:r w:rsidRPr="00216B23">
              <w:rPr>
                <w:rFonts w:ascii="Calibri" w:eastAsia="Times New Roman" w:hAnsi="Calibri" w:cs="Calibri"/>
                <w:color w:val="000000"/>
                <w:lang w:val="en-US"/>
              </w:rPr>
              <w:t>MWth</w:t>
            </w:r>
            <w:proofErr w:type="spellEnd"/>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Ποσοστό</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κάλυψης</w:t>
            </w:r>
            <w:proofErr w:type="spellEnd"/>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70%</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 </w:t>
            </w:r>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rPr>
            </w:pPr>
            <w:r w:rsidRPr="00216B23">
              <w:rPr>
                <w:rFonts w:ascii="Calibri" w:eastAsia="Times New Roman" w:hAnsi="Calibri" w:cs="Calibri"/>
                <w:b/>
                <w:bCs/>
                <w:color w:val="000000"/>
              </w:rPr>
              <w:t>Θερμική ισχύς μεταφοράς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11</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proofErr w:type="spellStart"/>
            <w:r w:rsidRPr="00216B23">
              <w:rPr>
                <w:rFonts w:ascii="Calibri" w:eastAsia="Times New Roman" w:hAnsi="Calibri" w:cs="Calibri"/>
                <w:color w:val="000000"/>
                <w:lang w:val="en-US"/>
              </w:rPr>
              <w:t>MWth</w:t>
            </w:r>
            <w:proofErr w:type="spellEnd"/>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rPr>
            </w:pPr>
            <w:r w:rsidRPr="00216B23">
              <w:rPr>
                <w:rFonts w:ascii="Calibri" w:eastAsia="Times New Roman" w:hAnsi="Calibri" w:cs="Calibri"/>
                <w:b/>
                <w:bCs/>
                <w:color w:val="000000"/>
              </w:rPr>
              <w:t>Κόστος δικτύου μεταφοράς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3</w:t>
            </w:r>
            <w:r>
              <w:rPr>
                <w:rFonts w:ascii="Calibri" w:eastAsia="Times New Roman" w:hAnsi="Calibri" w:cs="Calibri"/>
                <w:color w:val="000000"/>
              </w:rPr>
              <w:t>.</w:t>
            </w:r>
            <w:r w:rsidRPr="004767CC">
              <w:rPr>
                <w:rFonts w:ascii="Calibri" w:eastAsia="Times New Roman" w:hAnsi="Calibri" w:cs="Calibri"/>
                <w:color w:val="000000"/>
                <w:lang w:val="en-US"/>
              </w:rPr>
              <w:t>657</w:t>
            </w:r>
            <w:r>
              <w:rPr>
                <w:rFonts w:ascii="Calibri" w:eastAsia="Times New Roman" w:hAnsi="Calibri" w:cs="Calibri"/>
                <w:color w:val="000000"/>
              </w:rPr>
              <w:t>.</w:t>
            </w:r>
            <w:r w:rsidRPr="004767CC">
              <w:rPr>
                <w:rFonts w:ascii="Calibri" w:eastAsia="Times New Roman" w:hAnsi="Calibri" w:cs="Calibri"/>
                <w:color w:val="000000"/>
                <w:lang w:val="en-US"/>
              </w:rPr>
              <w:t>640</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lang w:val="en-US"/>
              </w:rPr>
            </w:pPr>
            <w:r w:rsidRPr="00216B23">
              <w:rPr>
                <w:rFonts w:ascii="Calibri" w:eastAsia="Times New Roman" w:hAnsi="Calibri" w:cs="Calibri"/>
                <w:b/>
                <w:bCs/>
                <w:color w:val="000000"/>
                <w:lang w:val="en-US"/>
              </w:rPr>
              <w:t>Απ</w:t>
            </w:r>
            <w:proofErr w:type="spellStart"/>
            <w:r w:rsidRPr="00216B23">
              <w:rPr>
                <w:rFonts w:ascii="Calibri" w:eastAsia="Times New Roman" w:hAnsi="Calibri" w:cs="Calibri"/>
                <w:b/>
                <w:bCs/>
                <w:color w:val="000000"/>
                <w:lang w:val="en-US"/>
              </w:rPr>
              <w:t>όστ</w:t>
            </w:r>
            <w:proofErr w:type="spellEnd"/>
            <w:r w:rsidRPr="00216B23">
              <w:rPr>
                <w:rFonts w:ascii="Calibri" w:eastAsia="Times New Roman" w:hAnsi="Calibri" w:cs="Calibri"/>
                <w:b/>
                <w:bCs/>
                <w:color w:val="000000"/>
                <w:lang w:val="en-US"/>
              </w:rPr>
              <w:t xml:space="preserve">αση </w:t>
            </w:r>
            <w:proofErr w:type="spellStart"/>
            <w:r w:rsidRPr="00216B23">
              <w:rPr>
                <w:rFonts w:ascii="Calibri" w:eastAsia="Times New Roman" w:hAnsi="Calibri" w:cs="Calibri"/>
                <w:b/>
                <w:bCs/>
                <w:color w:val="000000"/>
                <w:lang w:val="en-US"/>
              </w:rPr>
              <w:t>μετ</w:t>
            </w:r>
            <w:proofErr w:type="spellEnd"/>
            <w:r w:rsidRPr="00216B23">
              <w:rPr>
                <w:rFonts w:ascii="Calibri" w:eastAsia="Times New Roman" w:hAnsi="Calibri" w:cs="Calibri"/>
                <w:b/>
                <w:bCs/>
                <w:color w:val="000000"/>
                <w:lang w:val="en-US"/>
              </w:rPr>
              <w:t>αφοράς</w:t>
            </w:r>
            <w:r w:rsidRPr="00216B23">
              <w:rPr>
                <w:rFonts w:ascii="Calibri" w:eastAsia="Times New Roman" w:hAnsi="Calibri" w:cs="Calibri"/>
                <w:b/>
                <w:bCs/>
                <w:color w:val="000000"/>
              </w:rPr>
              <w:t xml:space="preserve">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7</w:t>
            </w:r>
            <w:r>
              <w:rPr>
                <w:rFonts w:ascii="Calibri" w:eastAsia="Times New Roman" w:hAnsi="Calibri" w:cs="Calibri"/>
                <w:color w:val="000000"/>
              </w:rPr>
              <w:t>,</w:t>
            </w:r>
            <w:r w:rsidRPr="004767CC">
              <w:rPr>
                <w:rFonts w:ascii="Calibri" w:eastAsia="Times New Roman" w:hAnsi="Calibri" w:cs="Calibri"/>
                <w:color w:val="000000"/>
                <w:lang w:val="en-US"/>
              </w:rPr>
              <w:t>5</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km</w:t>
            </w:r>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rPr>
            </w:pPr>
            <w:r w:rsidRPr="00216B23">
              <w:rPr>
                <w:rFonts w:ascii="Calibri" w:eastAsia="Times New Roman" w:hAnsi="Calibri" w:cs="Calibri"/>
                <w:b/>
                <w:bCs/>
                <w:color w:val="000000"/>
              </w:rPr>
              <w:t>Κόστος δικτύου διανομής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3</w:t>
            </w:r>
            <w:r>
              <w:rPr>
                <w:rFonts w:ascii="Calibri" w:eastAsia="Times New Roman" w:hAnsi="Calibri" w:cs="Calibri"/>
                <w:color w:val="000000"/>
              </w:rPr>
              <w:t>.</w:t>
            </w:r>
            <w:r w:rsidRPr="004767CC">
              <w:rPr>
                <w:rFonts w:ascii="Calibri" w:eastAsia="Times New Roman" w:hAnsi="Calibri" w:cs="Calibri"/>
                <w:color w:val="000000"/>
                <w:lang w:val="en-US"/>
              </w:rPr>
              <w:t>991</w:t>
            </w:r>
            <w:r>
              <w:rPr>
                <w:rFonts w:ascii="Calibri" w:eastAsia="Times New Roman" w:hAnsi="Calibri" w:cs="Calibri"/>
                <w:color w:val="000000"/>
              </w:rPr>
              <w:t>.</w:t>
            </w:r>
            <w:r w:rsidRPr="004767CC">
              <w:rPr>
                <w:rFonts w:ascii="Calibri" w:eastAsia="Times New Roman" w:hAnsi="Calibri" w:cs="Calibri"/>
                <w:color w:val="000000"/>
                <w:lang w:val="en-US"/>
              </w:rPr>
              <w:t>785</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Κόστος</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μονάδ</w:t>
            </w:r>
            <w:proofErr w:type="spellEnd"/>
            <w:r w:rsidRPr="00216B23">
              <w:rPr>
                <w:rFonts w:ascii="Calibri" w:eastAsia="Times New Roman" w:hAnsi="Calibri" w:cs="Calibri"/>
                <w:b/>
                <w:bCs/>
                <w:color w:val="000000"/>
                <w:lang w:val="en-US"/>
              </w:rPr>
              <w:t>ας παρα</w:t>
            </w:r>
            <w:proofErr w:type="spellStart"/>
            <w:r w:rsidRPr="00216B23">
              <w:rPr>
                <w:rFonts w:ascii="Calibri" w:eastAsia="Times New Roman" w:hAnsi="Calibri" w:cs="Calibri"/>
                <w:b/>
                <w:bCs/>
                <w:color w:val="000000"/>
                <w:lang w:val="en-US"/>
              </w:rPr>
              <w:t>γωγής</w:t>
            </w:r>
            <w:proofErr w:type="spellEnd"/>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915</w:t>
            </w:r>
            <w:r>
              <w:rPr>
                <w:rFonts w:ascii="Calibri" w:eastAsia="Times New Roman" w:hAnsi="Calibri" w:cs="Calibri"/>
                <w:color w:val="000000"/>
              </w:rPr>
              <w:t>.</w:t>
            </w:r>
            <w:r w:rsidRPr="004767CC">
              <w:rPr>
                <w:rFonts w:ascii="Calibri" w:eastAsia="Times New Roman" w:hAnsi="Calibri" w:cs="Calibri"/>
                <w:color w:val="000000"/>
                <w:lang w:val="en-US"/>
              </w:rPr>
              <w:t>915</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Κόστος</w:t>
            </w:r>
            <w:proofErr w:type="spellEnd"/>
            <w:r w:rsidRPr="00216B23">
              <w:rPr>
                <w:rFonts w:ascii="Calibri" w:eastAsia="Times New Roman" w:hAnsi="Calibri" w:cs="Calibri"/>
                <w:b/>
                <w:bCs/>
                <w:color w:val="000000"/>
                <w:lang w:val="en-US"/>
              </w:rPr>
              <w:t xml:space="preserve"> α</w:t>
            </w:r>
            <w:proofErr w:type="spellStart"/>
            <w:r w:rsidRPr="00216B23">
              <w:rPr>
                <w:rFonts w:ascii="Calibri" w:eastAsia="Times New Roman" w:hAnsi="Calibri" w:cs="Calibri"/>
                <w:b/>
                <w:bCs/>
                <w:color w:val="000000"/>
                <w:lang w:val="en-US"/>
              </w:rPr>
              <w:t>ντλιοστ</w:t>
            </w:r>
            <w:proofErr w:type="spellEnd"/>
            <w:r w:rsidRPr="00216B23">
              <w:rPr>
                <w:rFonts w:ascii="Calibri" w:eastAsia="Times New Roman" w:hAnsi="Calibri" w:cs="Calibri"/>
                <w:b/>
                <w:bCs/>
                <w:color w:val="000000"/>
                <w:lang w:val="en-US"/>
              </w:rPr>
              <w:t>ασίων</w:t>
            </w:r>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764</w:t>
            </w:r>
            <w:r>
              <w:rPr>
                <w:rFonts w:ascii="Calibri" w:eastAsia="Times New Roman" w:hAnsi="Calibri" w:cs="Calibri"/>
                <w:color w:val="000000"/>
              </w:rPr>
              <w:t>.</w:t>
            </w:r>
            <w:r w:rsidRPr="004767CC">
              <w:rPr>
                <w:rFonts w:ascii="Calibri" w:eastAsia="Times New Roman" w:hAnsi="Calibri" w:cs="Calibri"/>
                <w:color w:val="000000"/>
                <w:lang w:val="en-US"/>
              </w:rPr>
              <w:t>943</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Συνολικό</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κόστος</w:t>
            </w:r>
            <w:proofErr w:type="spellEnd"/>
            <w:r w:rsidRPr="00216B23">
              <w:rPr>
                <w:rFonts w:ascii="Calibri" w:eastAsia="Times New Roman" w:hAnsi="Calibri" w:cs="Calibri"/>
                <w:b/>
                <w:bCs/>
                <w:color w:val="000000"/>
                <w:lang w:val="en-US"/>
              </w:rPr>
              <w:t xml:space="preserve"> επ</w:t>
            </w:r>
            <w:proofErr w:type="spellStart"/>
            <w:r w:rsidRPr="00216B23">
              <w:rPr>
                <w:rFonts w:ascii="Calibri" w:eastAsia="Times New Roman" w:hAnsi="Calibri" w:cs="Calibri"/>
                <w:b/>
                <w:bCs/>
                <w:color w:val="000000"/>
                <w:lang w:val="en-US"/>
              </w:rPr>
              <w:t>έκτ</w:t>
            </w:r>
            <w:proofErr w:type="spellEnd"/>
            <w:r w:rsidRPr="00216B23">
              <w:rPr>
                <w:rFonts w:ascii="Calibri" w:eastAsia="Times New Roman" w:hAnsi="Calibri" w:cs="Calibri"/>
                <w:b/>
                <w:bCs/>
                <w:color w:val="000000"/>
                <w:lang w:val="en-US"/>
              </w:rPr>
              <w:t xml:space="preserve">ασης </w:t>
            </w:r>
            <w:proofErr w:type="spellStart"/>
            <w:r w:rsidRPr="00216B23">
              <w:rPr>
                <w:rFonts w:ascii="Calibri" w:eastAsia="Times New Roman" w:hAnsi="Calibri" w:cs="Calibri"/>
                <w:b/>
                <w:bCs/>
                <w:color w:val="000000"/>
                <w:lang w:val="en-US"/>
              </w:rPr>
              <w:t>τηλεθέρμ</w:t>
            </w:r>
            <w:proofErr w:type="spellEnd"/>
            <w:r w:rsidRPr="00216B23">
              <w:rPr>
                <w:rFonts w:ascii="Calibri" w:eastAsia="Times New Roman" w:hAnsi="Calibri" w:cs="Calibri"/>
                <w:b/>
                <w:bCs/>
                <w:color w:val="000000"/>
                <w:lang w:val="en-US"/>
              </w:rPr>
              <w:t>ανσης</w:t>
            </w:r>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9</w:t>
            </w:r>
            <w:r>
              <w:rPr>
                <w:rFonts w:ascii="Calibri" w:eastAsia="Times New Roman" w:hAnsi="Calibri" w:cs="Calibri"/>
                <w:color w:val="000000"/>
              </w:rPr>
              <w:t>.</w:t>
            </w:r>
            <w:r w:rsidRPr="004767CC">
              <w:rPr>
                <w:rFonts w:ascii="Calibri" w:eastAsia="Times New Roman" w:hAnsi="Calibri" w:cs="Calibri"/>
                <w:color w:val="000000"/>
                <w:lang w:val="en-US"/>
              </w:rPr>
              <w:t>330</w:t>
            </w:r>
            <w:r>
              <w:rPr>
                <w:rFonts w:ascii="Calibri" w:eastAsia="Times New Roman" w:hAnsi="Calibri" w:cs="Calibri"/>
                <w:color w:val="000000"/>
              </w:rPr>
              <w:t>.</w:t>
            </w:r>
            <w:r w:rsidRPr="004767CC">
              <w:rPr>
                <w:rFonts w:ascii="Calibri" w:eastAsia="Times New Roman" w:hAnsi="Calibri" w:cs="Calibri"/>
                <w:color w:val="000000"/>
                <w:lang w:val="en-US"/>
              </w:rPr>
              <w:t>282</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BF0643" w:rsidRPr="00216B23" w:rsidTr="009B2B05">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left"/>
              <w:rPr>
                <w:rFonts w:ascii="Calibri" w:eastAsia="Times New Roman" w:hAnsi="Calibri" w:cs="Calibri"/>
                <w:b/>
                <w:bCs/>
                <w:color w:val="000000"/>
              </w:rPr>
            </w:pPr>
            <w:r w:rsidRPr="00216B23">
              <w:rPr>
                <w:rFonts w:ascii="Calibri" w:eastAsia="Times New Roman" w:hAnsi="Calibri" w:cs="Calibri"/>
                <w:b/>
                <w:bCs/>
                <w:color w:val="000000"/>
              </w:rPr>
              <w:t>Κόστος/ισχύς μεταφερόμενης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BF0643" w:rsidRPr="004767CC" w:rsidRDefault="00BF0643" w:rsidP="009B2B05">
            <w:pPr>
              <w:spacing w:after="0" w:line="240" w:lineRule="auto"/>
              <w:jc w:val="center"/>
              <w:rPr>
                <w:rFonts w:ascii="Calibri" w:eastAsia="Times New Roman" w:hAnsi="Calibri" w:cs="Calibri"/>
                <w:color w:val="000000"/>
                <w:lang w:val="en-US"/>
              </w:rPr>
            </w:pPr>
            <w:r w:rsidRPr="004767CC">
              <w:rPr>
                <w:rFonts w:ascii="Calibri" w:eastAsia="Times New Roman" w:hAnsi="Calibri" w:cs="Calibri"/>
                <w:color w:val="000000"/>
                <w:lang w:val="en-US"/>
              </w:rPr>
              <w:t>866</w:t>
            </w:r>
          </w:p>
        </w:tc>
        <w:tc>
          <w:tcPr>
            <w:tcW w:w="960" w:type="dxa"/>
            <w:tcBorders>
              <w:top w:val="nil"/>
              <w:left w:val="nil"/>
              <w:bottom w:val="single" w:sz="4" w:space="0" w:color="auto"/>
              <w:right w:val="single" w:sz="4" w:space="0" w:color="auto"/>
            </w:tcBorders>
            <w:shd w:val="clear" w:color="000000" w:fill="FFFFFF"/>
            <w:noWrap/>
            <w:vAlign w:val="bottom"/>
            <w:hideMark/>
          </w:tcPr>
          <w:p w:rsidR="00BF0643" w:rsidRPr="00216B23" w:rsidRDefault="00BF0643" w:rsidP="009B2B05">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roofErr w:type="spellStart"/>
            <w:r w:rsidRPr="00216B23">
              <w:rPr>
                <w:rFonts w:ascii="Calibri" w:eastAsia="Times New Roman" w:hAnsi="Calibri" w:cs="Calibri"/>
                <w:color w:val="000000"/>
                <w:lang w:val="en-US"/>
              </w:rPr>
              <w:t>kWth</w:t>
            </w:r>
            <w:proofErr w:type="spellEnd"/>
          </w:p>
        </w:tc>
      </w:tr>
    </w:tbl>
    <w:p w:rsidR="00771216" w:rsidRPr="00BF0643" w:rsidRDefault="00771216" w:rsidP="00BF0643">
      <w:bookmarkStart w:id="4" w:name="_GoBack"/>
      <w:bookmarkEnd w:id="4"/>
    </w:p>
    <w:sectPr w:rsidR="00771216" w:rsidRPr="00BF0643" w:rsidSect="00061E17">
      <w:pgSz w:w="11906" w:h="16838"/>
      <w:pgMar w:top="1440" w:right="991"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76E" w:rsidRDefault="00D4676E" w:rsidP="003B6816">
      <w:pPr>
        <w:spacing w:after="0" w:line="240" w:lineRule="auto"/>
      </w:pPr>
      <w:r>
        <w:separator/>
      </w:r>
    </w:p>
  </w:endnote>
  <w:endnote w:type="continuationSeparator" w:id="0">
    <w:p w:rsidR="00D4676E" w:rsidRDefault="00D4676E" w:rsidP="003B6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MyriadPro-Regular">
    <w:altName w:val="Calibri"/>
    <w:panose1 w:val="00000000000000000000"/>
    <w:charset w:val="A1"/>
    <w:family w:val="auto"/>
    <w:notTrueType/>
    <w:pitch w:val="default"/>
    <w:sig w:usb0="00000081" w:usb1="00000000" w:usb2="00000000" w:usb3="00000000" w:csb0="00000008"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76E" w:rsidRDefault="00D4676E" w:rsidP="003B6816">
      <w:pPr>
        <w:spacing w:after="0" w:line="240" w:lineRule="auto"/>
      </w:pPr>
      <w:r>
        <w:separator/>
      </w:r>
    </w:p>
  </w:footnote>
  <w:footnote w:type="continuationSeparator" w:id="0">
    <w:p w:rsidR="00D4676E" w:rsidRDefault="00D4676E" w:rsidP="003B6816">
      <w:pPr>
        <w:spacing w:after="0" w:line="240" w:lineRule="auto"/>
      </w:pPr>
      <w:r>
        <w:continuationSeparator/>
      </w:r>
    </w:p>
  </w:footnote>
  <w:footnote w:id="1">
    <w:p w:rsidR="00BF0643" w:rsidRPr="003B6816" w:rsidRDefault="00BF0643" w:rsidP="00BF0643">
      <w:pPr>
        <w:pStyle w:val="a7"/>
      </w:pPr>
      <w:r>
        <w:rPr>
          <w:rStyle w:val="a8"/>
        </w:rPr>
        <w:footnoteRef/>
      </w:r>
      <w:r>
        <w:t xml:space="preserve"> ΚΑΠΕ, 2017, Εξισώσεις «από τη βάση στην κορυφή» για τον προσδιορισμό της εξοικονόμησης ενέργειας από μέτρα βελτίωσής της ενεργειακής απόδοσης στο πλαίσιο του καθεστώτος επιβολής της υποχρέωσης ενεργειακής απόδοσης.</w:t>
      </w:r>
    </w:p>
  </w:footnote>
  <w:footnote w:id="2">
    <w:p w:rsidR="00BF0643" w:rsidRDefault="00BF0643" w:rsidP="00BF0643">
      <w:pPr>
        <w:pStyle w:val="a7"/>
      </w:pPr>
      <w:r>
        <w:rPr>
          <w:rStyle w:val="a8"/>
        </w:rPr>
        <w:footnoteRef/>
      </w:r>
      <w:r>
        <w:t xml:space="preserve"> </w:t>
      </w:r>
      <w:r>
        <w:t>ΚΑΠΕ, 2017, Εξισώσεις «από τη βάση στην κορυφή» για τον προσδιορισμό της εξοικονόμησης ενέργειας από μέτρα βελτίωσής της ενεργειακής απόδοσης στο πλαίσιο του καθεστώτος επιβολής της υποχρέωσης ενεργειακής απόδοσης.</w:t>
      </w:r>
    </w:p>
  </w:footnote>
  <w:footnote w:id="3">
    <w:p w:rsidR="00BF0643" w:rsidRPr="00995515" w:rsidRDefault="00BF0643" w:rsidP="00BF0643">
      <w:pPr>
        <w:pStyle w:val="a7"/>
      </w:pPr>
      <w:r>
        <w:rPr>
          <w:rStyle w:val="a8"/>
        </w:rPr>
        <w:footnoteRef/>
      </w:r>
      <w:r>
        <w:t xml:space="preserve"> </w:t>
      </w:r>
      <w:r>
        <w:t xml:space="preserve">Υ.Α. υπ’ </w:t>
      </w:r>
      <w:proofErr w:type="spellStart"/>
      <w:r>
        <w:t>α</w:t>
      </w:r>
      <w:r w:rsidRPr="00995515">
        <w:rPr>
          <w:rFonts w:ascii="MyriadPro-Regular" w:hAnsi="MyriadPro-Regular" w:cs="MyriadPro-Regular"/>
        </w:rPr>
        <w:t>ριθμ</w:t>
      </w:r>
      <w:proofErr w:type="spellEnd"/>
      <w:r w:rsidRPr="00995515">
        <w:rPr>
          <w:rFonts w:ascii="MyriadPro-Regular" w:hAnsi="MyriadPro-Regular" w:cs="MyriadPro-Regular"/>
        </w:rPr>
        <w:t>. ΔΕΠΕΑ/οικ.178581</w:t>
      </w:r>
      <w:r>
        <w:rPr>
          <w:rFonts w:ascii="MyriadPro-Regular" w:hAnsi="MyriadPro-Regular" w:cs="MyriadPro-Regular"/>
        </w:rPr>
        <w:t xml:space="preserve">, </w:t>
      </w:r>
      <w:r w:rsidRPr="00995515">
        <w:rPr>
          <w:rFonts w:ascii="MyriadPro-Regular" w:hAnsi="MyriadPro-Regular" w:cs="MyriadPro-Regular"/>
        </w:rPr>
        <w:t>Έγκριση Κανονισμού Ενεργειακής Απόδοσης Κτιρίων</w:t>
      </w:r>
      <w:r>
        <w:rPr>
          <w:rFonts w:ascii="MyriadPro-Regular" w:hAnsi="MyriadPro-Regular" w:cs="MyriadPro-Regular"/>
        </w:rPr>
        <w:t xml:space="preserve"> (ΦΕΚ, Β’, 2367, 12-07-2017).</w:t>
      </w:r>
    </w:p>
  </w:footnote>
  <w:footnote w:id="4">
    <w:p w:rsidR="00BF0643" w:rsidRPr="00995515" w:rsidRDefault="00BF0643" w:rsidP="00BF0643">
      <w:pPr>
        <w:pStyle w:val="a7"/>
      </w:pPr>
      <w:r>
        <w:rPr>
          <w:rStyle w:val="a8"/>
        </w:rPr>
        <w:footnoteRef/>
      </w:r>
      <w:r>
        <w:t xml:space="preserve"> </w:t>
      </w:r>
      <w:r>
        <w:t xml:space="preserve">Υ.Α. υπ’ </w:t>
      </w:r>
      <w:proofErr w:type="spellStart"/>
      <w:r>
        <w:t>α</w:t>
      </w:r>
      <w:r w:rsidRPr="00995515">
        <w:rPr>
          <w:rFonts w:ascii="MyriadPro-Regular" w:hAnsi="MyriadPro-Regular" w:cs="MyriadPro-Regular"/>
        </w:rPr>
        <w:t>ριθμ</w:t>
      </w:r>
      <w:proofErr w:type="spellEnd"/>
      <w:r w:rsidRPr="00995515">
        <w:rPr>
          <w:rFonts w:ascii="MyriadPro-Regular" w:hAnsi="MyriadPro-Regular" w:cs="MyriadPro-Regular"/>
        </w:rPr>
        <w:t>. ΔΕΠΕΑ/οικ.178581</w:t>
      </w:r>
      <w:r>
        <w:rPr>
          <w:rFonts w:ascii="MyriadPro-Regular" w:hAnsi="MyriadPro-Regular" w:cs="MyriadPro-Regular"/>
        </w:rPr>
        <w:t xml:space="preserve">, </w:t>
      </w:r>
      <w:r w:rsidRPr="00995515">
        <w:rPr>
          <w:rFonts w:ascii="MyriadPro-Regular" w:hAnsi="MyriadPro-Regular" w:cs="MyriadPro-Regular"/>
        </w:rPr>
        <w:t>Έγκριση Κανονισμού Ενεργειακής Απόδοσης Κτιρίων</w:t>
      </w:r>
      <w:r>
        <w:rPr>
          <w:rFonts w:ascii="MyriadPro-Regular" w:hAnsi="MyriadPro-Regular" w:cs="MyriadPro-Regular"/>
        </w:rPr>
        <w:t xml:space="preserve"> (ΦΕΚ, Β’, 2367, 12-07-2017).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8571B"/>
    <w:multiLevelType w:val="hybridMultilevel"/>
    <w:tmpl w:val="011E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C23EC2"/>
    <w:multiLevelType w:val="hybridMultilevel"/>
    <w:tmpl w:val="C2D867EA"/>
    <w:lvl w:ilvl="0" w:tplc="0C8A464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BB82545"/>
    <w:multiLevelType w:val="hybridMultilevel"/>
    <w:tmpl w:val="8040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34DA0"/>
    <w:multiLevelType w:val="hybridMultilevel"/>
    <w:tmpl w:val="1D5249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E4823"/>
    <w:multiLevelType w:val="hybridMultilevel"/>
    <w:tmpl w:val="3CDAFFE2"/>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8A1014"/>
    <w:multiLevelType w:val="hybridMultilevel"/>
    <w:tmpl w:val="1354B9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E2635C"/>
    <w:multiLevelType w:val="hybridMultilevel"/>
    <w:tmpl w:val="1E448E32"/>
    <w:lvl w:ilvl="0" w:tplc="04080001">
      <w:start w:val="1"/>
      <w:numFmt w:val="bullet"/>
      <w:lvlText w:val=""/>
      <w:lvlJc w:val="left"/>
      <w:pPr>
        <w:tabs>
          <w:tab w:val="num" w:pos="1287"/>
        </w:tabs>
        <w:ind w:left="1287" w:hanging="360"/>
      </w:pPr>
      <w:rPr>
        <w:rFonts w:ascii="Symbol" w:hAnsi="Symbol"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7">
    <w:nsid w:val="614B391D"/>
    <w:multiLevelType w:val="hybridMultilevel"/>
    <w:tmpl w:val="5D3AE484"/>
    <w:lvl w:ilvl="0" w:tplc="1BF04A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6FD553B"/>
    <w:multiLevelType w:val="hybridMultilevel"/>
    <w:tmpl w:val="1D161A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4"/>
  </w:num>
  <w:num w:numId="5">
    <w:abstractNumId w:val="5"/>
  </w:num>
  <w:num w:numId="6">
    <w:abstractNumId w:val="2"/>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7Q0Nbc0Mzc0NDI1srRU0lEKTi0uzszPAykwrAUAC+bjRiwAAAA="/>
  </w:docVars>
  <w:rsids>
    <w:rsidRoot w:val="00061E17"/>
    <w:rsid w:val="000311CB"/>
    <w:rsid w:val="00040408"/>
    <w:rsid w:val="00043189"/>
    <w:rsid w:val="00061E17"/>
    <w:rsid w:val="00063F52"/>
    <w:rsid w:val="000809EA"/>
    <w:rsid w:val="00082116"/>
    <w:rsid w:val="000C1EDD"/>
    <w:rsid w:val="000D1C09"/>
    <w:rsid w:val="000E0B68"/>
    <w:rsid w:val="00106FD3"/>
    <w:rsid w:val="00135770"/>
    <w:rsid w:val="00143D5F"/>
    <w:rsid w:val="001600AA"/>
    <w:rsid w:val="00160890"/>
    <w:rsid w:val="00192698"/>
    <w:rsid w:val="001B0616"/>
    <w:rsid w:val="001D66FD"/>
    <w:rsid w:val="00200184"/>
    <w:rsid w:val="0021441A"/>
    <w:rsid w:val="00216239"/>
    <w:rsid w:val="00216B23"/>
    <w:rsid w:val="002173F4"/>
    <w:rsid w:val="002326AF"/>
    <w:rsid w:val="00270907"/>
    <w:rsid w:val="00286C7A"/>
    <w:rsid w:val="002A6D6B"/>
    <w:rsid w:val="002C6002"/>
    <w:rsid w:val="002C6EDF"/>
    <w:rsid w:val="002D043C"/>
    <w:rsid w:val="002E5E01"/>
    <w:rsid w:val="00332A24"/>
    <w:rsid w:val="00335518"/>
    <w:rsid w:val="0035466E"/>
    <w:rsid w:val="0036184C"/>
    <w:rsid w:val="003700D8"/>
    <w:rsid w:val="0037489C"/>
    <w:rsid w:val="003A2714"/>
    <w:rsid w:val="003B6816"/>
    <w:rsid w:val="003E7654"/>
    <w:rsid w:val="00462B72"/>
    <w:rsid w:val="00467550"/>
    <w:rsid w:val="00472627"/>
    <w:rsid w:val="004767CC"/>
    <w:rsid w:val="004D0838"/>
    <w:rsid w:val="004D1E6A"/>
    <w:rsid w:val="004D55D5"/>
    <w:rsid w:val="00560A9D"/>
    <w:rsid w:val="005662BA"/>
    <w:rsid w:val="00583388"/>
    <w:rsid w:val="0058489C"/>
    <w:rsid w:val="005B4F58"/>
    <w:rsid w:val="005E0E94"/>
    <w:rsid w:val="006345D7"/>
    <w:rsid w:val="0064011F"/>
    <w:rsid w:val="00690168"/>
    <w:rsid w:val="006D5A88"/>
    <w:rsid w:val="006E432F"/>
    <w:rsid w:val="006E68AC"/>
    <w:rsid w:val="00734422"/>
    <w:rsid w:val="0073520F"/>
    <w:rsid w:val="00771216"/>
    <w:rsid w:val="00781641"/>
    <w:rsid w:val="00794C52"/>
    <w:rsid w:val="007A0974"/>
    <w:rsid w:val="007B1077"/>
    <w:rsid w:val="007C3CDA"/>
    <w:rsid w:val="007E7E32"/>
    <w:rsid w:val="0082266D"/>
    <w:rsid w:val="0082570C"/>
    <w:rsid w:val="00831514"/>
    <w:rsid w:val="008574C6"/>
    <w:rsid w:val="008575B0"/>
    <w:rsid w:val="0086668A"/>
    <w:rsid w:val="00885997"/>
    <w:rsid w:val="008A2532"/>
    <w:rsid w:val="008A7345"/>
    <w:rsid w:val="008B00BF"/>
    <w:rsid w:val="008C4E56"/>
    <w:rsid w:val="008C67CE"/>
    <w:rsid w:val="008E2192"/>
    <w:rsid w:val="008F1371"/>
    <w:rsid w:val="008F6976"/>
    <w:rsid w:val="00910769"/>
    <w:rsid w:val="00967866"/>
    <w:rsid w:val="00967981"/>
    <w:rsid w:val="00995515"/>
    <w:rsid w:val="00997A57"/>
    <w:rsid w:val="009A4435"/>
    <w:rsid w:val="009A49D9"/>
    <w:rsid w:val="009D2045"/>
    <w:rsid w:val="00A016DE"/>
    <w:rsid w:val="00A02B89"/>
    <w:rsid w:val="00A257D4"/>
    <w:rsid w:val="00A4683D"/>
    <w:rsid w:val="00A77A77"/>
    <w:rsid w:val="00A82D77"/>
    <w:rsid w:val="00A87251"/>
    <w:rsid w:val="00A91734"/>
    <w:rsid w:val="00AB7D11"/>
    <w:rsid w:val="00AD2978"/>
    <w:rsid w:val="00AD5EA4"/>
    <w:rsid w:val="00AE677A"/>
    <w:rsid w:val="00AF691C"/>
    <w:rsid w:val="00B22DFB"/>
    <w:rsid w:val="00B54B84"/>
    <w:rsid w:val="00B5682E"/>
    <w:rsid w:val="00B72A30"/>
    <w:rsid w:val="00BE3CCE"/>
    <w:rsid w:val="00BF0643"/>
    <w:rsid w:val="00C01700"/>
    <w:rsid w:val="00C300B5"/>
    <w:rsid w:val="00C341ED"/>
    <w:rsid w:val="00C541AA"/>
    <w:rsid w:val="00C96B8A"/>
    <w:rsid w:val="00C97D24"/>
    <w:rsid w:val="00CA2F34"/>
    <w:rsid w:val="00CA5E2B"/>
    <w:rsid w:val="00CB0322"/>
    <w:rsid w:val="00CB3B16"/>
    <w:rsid w:val="00CB593E"/>
    <w:rsid w:val="00CD73D8"/>
    <w:rsid w:val="00CF0140"/>
    <w:rsid w:val="00CF7D15"/>
    <w:rsid w:val="00D04E80"/>
    <w:rsid w:val="00D10522"/>
    <w:rsid w:val="00D4676E"/>
    <w:rsid w:val="00D71049"/>
    <w:rsid w:val="00D80721"/>
    <w:rsid w:val="00DA201E"/>
    <w:rsid w:val="00DC6306"/>
    <w:rsid w:val="00DE2B3E"/>
    <w:rsid w:val="00DE74CC"/>
    <w:rsid w:val="00DF178F"/>
    <w:rsid w:val="00E02D45"/>
    <w:rsid w:val="00E268F1"/>
    <w:rsid w:val="00E46897"/>
    <w:rsid w:val="00E64DC1"/>
    <w:rsid w:val="00E8480F"/>
    <w:rsid w:val="00E875D4"/>
    <w:rsid w:val="00EB5692"/>
    <w:rsid w:val="00EB6E74"/>
    <w:rsid w:val="00EC2125"/>
    <w:rsid w:val="00EF3871"/>
    <w:rsid w:val="00F71F27"/>
    <w:rsid w:val="00F85971"/>
    <w:rsid w:val="00FC3FF3"/>
    <w:rsid w:val="00FE2EA2"/>
    <w:rsid w:val="00FF48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D5F"/>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E17"/>
    <w:pPr>
      <w:ind w:left="720"/>
      <w:contextualSpacing/>
    </w:pPr>
  </w:style>
  <w:style w:type="table" w:styleId="a4">
    <w:name w:val="Table Grid"/>
    <w:basedOn w:val="a1"/>
    <w:uiPriority w:val="59"/>
    <w:rsid w:val="00F85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Βασικό1"/>
    <w:basedOn w:val="a0"/>
    <w:rsid w:val="00E8480F"/>
  </w:style>
  <w:style w:type="character" w:styleId="a5">
    <w:name w:val="Placeholder Text"/>
    <w:basedOn w:val="a0"/>
    <w:uiPriority w:val="99"/>
    <w:semiHidden/>
    <w:rsid w:val="00C01700"/>
    <w:rPr>
      <w:color w:val="808080"/>
    </w:rPr>
  </w:style>
  <w:style w:type="paragraph" w:styleId="a6">
    <w:name w:val="Balloon Text"/>
    <w:basedOn w:val="a"/>
    <w:link w:val="Char"/>
    <w:uiPriority w:val="99"/>
    <w:semiHidden/>
    <w:unhideWhenUsed/>
    <w:rsid w:val="000C1EDD"/>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0C1EDD"/>
    <w:rPr>
      <w:rFonts w:ascii="Tahoma" w:hAnsi="Tahoma" w:cs="Tahoma"/>
      <w:sz w:val="16"/>
      <w:szCs w:val="16"/>
    </w:rPr>
  </w:style>
  <w:style w:type="paragraph" w:styleId="a7">
    <w:name w:val="footnote text"/>
    <w:basedOn w:val="a"/>
    <w:link w:val="Char0"/>
    <w:uiPriority w:val="99"/>
    <w:semiHidden/>
    <w:unhideWhenUsed/>
    <w:rsid w:val="003B6816"/>
    <w:pPr>
      <w:spacing w:after="0" w:line="240" w:lineRule="auto"/>
    </w:pPr>
    <w:rPr>
      <w:sz w:val="20"/>
      <w:szCs w:val="20"/>
    </w:rPr>
  </w:style>
  <w:style w:type="character" w:customStyle="1" w:styleId="Char0">
    <w:name w:val="Κείμενο υποσημείωσης Char"/>
    <w:basedOn w:val="a0"/>
    <w:link w:val="a7"/>
    <w:uiPriority w:val="99"/>
    <w:semiHidden/>
    <w:rsid w:val="003B6816"/>
    <w:rPr>
      <w:sz w:val="20"/>
      <w:szCs w:val="20"/>
    </w:rPr>
  </w:style>
  <w:style w:type="character" w:styleId="a8">
    <w:name w:val="footnote reference"/>
    <w:basedOn w:val="a0"/>
    <w:uiPriority w:val="99"/>
    <w:semiHidden/>
    <w:unhideWhenUsed/>
    <w:rsid w:val="003B681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D5F"/>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E17"/>
    <w:pPr>
      <w:ind w:left="720"/>
      <w:contextualSpacing/>
    </w:pPr>
  </w:style>
  <w:style w:type="table" w:styleId="a4">
    <w:name w:val="Table Grid"/>
    <w:basedOn w:val="a1"/>
    <w:uiPriority w:val="59"/>
    <w:rsid w:val="00F85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Βασικό1"/>
    <w:basedOn w:val="a0"/>
    <w:rsid w:val="00E8480F"/>
  </w:style>
  <w:style w:type="character" w:styleId="a5">
    <w:name w:val="Placeholder Text"/>
    <w:basedOn w:val="a0"/>
    <w:uiPriority w:val="99"/>
    <w:semiHidden/>
    <w:rsid w:val="00C01700"/>
    <w:rPr>
      <w:color w:val="808080"/>
    </w:rPr>
  </w:style>
  <w:style w:type="paragraph" w:styleId="a6">
    <w:name w:val="Balloon Text"/>
    <w:basedOn w:val="a"/>
    <w:link w:val="Char"/>
    <w:uiPriority w:val="99"/>
    <w:semiHidden/>
    <w:unhideWhenUsed/>
    <w:rsid w:val="000C1EDD"/>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0C1EDD"/>
    <w:rPr>
      <w:rFonts w:ascii="Tahoma" w:hAnsi="Tahoma" w:cs="Tahoma"/>
      <w:sz w:val="16"/>
      <w:szCs w:val="16"/>
    </w:rPr>
  </w:style>
  <w:style w:type="paragraph" w:styleId="a7">
    <w:name w:val="footnote text"/>
    <w:basedOn w:val="a"/>
    <w:link w:val="Char0"/>
    <w:uiPriority w:val="99"/>
    <w:semiHidden/>
    <w:unhideWhenUsed/>
    <w:rsid w:val="003B6816"/>
    <w:pPr>
      <w:spacing w:after="0" w:line="240" w:lineRule="auto"/>
    </w:pPr>
    <w:rPr>
      <w:sz w:val="20"/>
      <w:szCs w:val="20"/>
    </w:rPr>
  </w:style>
  <w:style w:type="character" w:customStyle="1" w:styleId="Char0">
    <w:name w:val="Κείμενο υποσημείωσης Char"/>
    <w:basedOn w:val="a0"/>
    <w:link w:val="a7"/>
    <w:uiPriority w:val="99"/>
    <w:semiHidden/>
    <w:rsid w:val="003B6816"/>
    <w:rPr>
      <w:sz w:val="20"/>
      <w:szCs w:val="20"/>
    </w:rPr>
  </w:style>
  <w:style w:type="character" w:styleId="a8">
    <w:name w:val="footnote reference"/>
    <w:basedOn w:val="a0"/>
    <w:uiPriority w:val="99"/>
    <w:semiHidden/>
    <w:unhideWhenUsed/>
    <w:rsid w:val="003B68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6242">
      <w:bodyDiv w:val="1"/>
      <w:marLeft w:val="0"/>
      <w:marRight w:val="0"/>
      <w:marTop w:val="0"/>
      <w:marBottom w:val="0"/>
      <w:divBdr>
        <w:top w:val="none" w:sz="0" w:space="0" w:color="auto"/>
        <w:left w:val="none" w:sz="0" w:space="0" w:color="auto"/>
        <w:bottom w:val="none" w:sz="0" w:space="0" w:color="auto"/>
        <w:right w:val="none" w:sz="0" w:space="0" w:color="auto"/>
      </w:divBdr>
    </w:div>
    <w:div w:id="162671839">
      <w:bodyDiv w:val="1"/>
      <w:marLeft w:val="0"/>
      <w:marRight w:val="0"/>
      <w:marTop w:val="0"/>
      <w:marBottom w:val="0"/>
      <w:divBdr>
        <w:top w:val="none" w:sz="0" w:space="0" w:color="auto"/>
        <w:left w:val="none" w:sz="0" w:space="0" w:color="auto"/>
        <w:bottom w:val="none" w:sz="0" w:space="0" w:color="auto"/>
        <w:right w:val="none" w:sz="0" w:space="0" w:color="auto"/>
      </w:divBdr>
    </w:div>
    <w:div w:id="263877217">
      <w:bodyDiv w:val="1"/>
      <w:marLeft w:val="0"/>
      <w:marRight w:val="0"/>
      <w:marTop w:val="0"/>
      <w:marBottom w:val="0"/>
      <w:divBdr>
        <w:top w:val="none" w:sz="0" w:space="0" w:color="auto"/>
        <w:left w:val="none" w:sz="0" w:space="0" w:color="auto"/>
        <w:bottom w:val="none" w:sz="0" w:space="0" w:color="auto"/>
        <w:right w:val="none" w:sz="0" w:space="0" w:color="auto"/>
      </w:divBdr>
    </w:div>
    <w:div w:id="777064283">
      <w:bodyDiv w:val="1"/>
      <w:marLeft w:val="0"/>
      <w:marRight w:val="0"/>
      <w:marTop w:val="0"/>
      <w:marBottom w:val="0"/>
      <w:divBdr>
        <w:top w:val="none" w:sz="0" w:space="0" w:color="auto"/>
        <w:left w:val="none" w:sz="0" w:space="0" w:color="auto"/>
        <w:bottom w:val="none" w:sz="0" w:space="0" w:color="auto"/>
        <w:right w:val="none" w:sz="0" w:space="0" w:color="auto"/>
      </w:divBdr>
    </w:div>
    <w:div w:id="985933541">
      <w:bodyDiv w:val="1"/>
      <w:marLeft w:val="0"/>
      <w:marRight w:val="0"/>
      <w:marTop w:val="0"/>
      <w:marBottom w:val="0"/>
      <w:divBdr>
        <w:top w:val="none" w:sz="0" w:space="0" w:color="auto"/>
        <w:left w:val="none" w:sz="0" w:space="0" w:color="auto"/>
        <w:bottom w:val="none" w:sz="0" w:space="0" w:color="auto"/>
        <w:right w:val="none" w:sz="0" w:space="0" w:color="auto"/>
      </w:divBdr>
      <w:divsChild>
        <w:div w:id="1277368168">
          <w:marLeft w:val="0"/>
          <w:marRight w:val="0"/>
          <w:marTop w:val="0"/>
          <w:marBottom w:val="0"/>
          <w:divBdr>
            <w:top w:val="none" w:sz="0" w:space="0" w:color="auto"/>
            <w:left w:val="none" w:sz="0" w:space="0" w:color="auto"/>
            <w:bottom w:val="none" w:sz="0" w:space="0" w:color="auto"/>
            <w:right w:val="none" w:sz="0" w:space="0" w:color="auto"/>
          </w:divBdr>
        </w:div>
        <w:div w:id="2111274536">
          <w:marLeft w:val="0"/>
          <w:marRight w:val="0"/>
          <w:marTop w:val="0"/>
          <w:marBottom w:val="0"/>
          <w:divBdr>
            <w:top w:val="none" w:sz="0" w:space="0" w:color="auto"/>
            <w:left w:val="none" w:sz="0" w:space="0" w:color="auto"/>
            <w:bottom w:val="none" w:sz="0" w:space="0" w:color="auto"/>
            <w:right w:val="none" w:sz="0" w:space="0" w:color="auto"/>
          </w:divBdr>
        </w:div>
        <w:div w:id="1946963844">
          <w:marLeft w:val="0"/>
          <w:marRight w:val="0"/>
          <w:marTop w:val="0"/>
          <w:marBottom w:val="0"/>
          <w:divBdr>
            <w:top w:val="none" w:sz="0" w:space="0" w:color="auto"/>
            <w:left w:val="none" w:sz="0" w:space="0" w:color="auto"/>
            <w:bottom w:val="none" w:sz="0" w:space="0" w:color="auto"/>
            <w:right w:val="none" w:sz="0" w:space="0" w:color="auto"/>
          </w:divBdr>
        </w:div>
        <w:div w:id="407532736">
          <w:marLeft w:val="0"/>
          <w:marRight w:val="0"/>
          <w:marTop w:val="0"/>
          <w:marBottom w:val="0"/>
          <w:divBdr>
            <w:top w:val="none" w:sz="0" w:space="0" w:color="auto"/>
            <w:left w:val="none" w:sz="0" w:space="0" w:color="auto"/>
            <w:bottom w:val="none" w:sz="0" w:space="0" w:color="auto"/>
            <w:right w:val="none" w:sz="0" w:space="0" w:color="auto"/>
          </w:divBdr>
        </w:div>
        <w:div w:id="350180104">
          <w:marLeft w:val="0"/>
          <w:marRight w:val="0"/>
          <w:marTop w:val="0"/>
          <w:marBottom w:val="0"/>
          <w:divBdr>
            <w:top w:val="none" w:sz="0" w:space="0" w:color="auto"/>
            <w:left w:val="none" w:sz="0" w:space="0" w:color="auto"/>
            <w:bottom w:val="none" w:sz="0" w:space="0" w:color="auto"/>
            <w:right w:val="none" w:sz="0" w:space="0" w:color="auto"/>
          </w:divBdr>
        </w:div>
        <w:div w:id="2100445147">
          <w:marLeft w:val="0"/>
          <w:marRight w:val="0"/>
          <w:marTop w:val="0"/>
          <w:marBottom w:val="0"/>
          <w:divBdr>
            <w:top w:val="none" w:sz="0" w:space="0" w:color="auto"/>
            <w:left w:val="none" w:sz="0" w:space="0" w:color="auto"/>
            <w:bottom w:val="none" w:sz="0" w:space="0" w:color="auto"/>
            <w:right w:val="none" w:sz="0" w:space="0" w:color="auto"/>
          </w:divBdr>
        </w:div>
        <w:div w:id="1072046165">
          <w:marLeft w:val="0"/>
          <w:marRight w:val="0"/>
          <w:marTop w:val="0"/>
          <w:marBottom w:val="0"/>
          <w:divBdr>
            <w:top w:val="none" w:sz="0" w:space="0" w:color="auto"/>
            <w:left w:val="none" w:sz="0" w:space="0" w:color="auto"/>
            <w:bottom w:val="none" w:sz="0" w:space="0" w:color="auto"/>
            <w:right w:val="none" w:sz="0" w:space="0" w:color="auto"/>
          </w:divBdr>
        </w:div>
        <w:div w:id="2104494162">
          <w:marLeft w:val="0"/>
          <w:marRight w:val="0"/>
          <w:marTop w:val="0"/>
          <w:marBottom w:val="0"/>
          <w:divBdr>
            <w:top w:val="none" w:sz="0" w:space="0" w:color="auto"/>
            <w:left w:val="none" w:sz="0" w:space="0" w:color="auto"/>
            <w:bottom w:val="none" w:sz="0" w:space="0" w:color="auto"/>
            <w:right w:val="none" w:sz="0" w:space="0" w:color="auto"/>
          </w:divBdr>
        </w:div>
      </w:divsChild>
    </w:div>
    <w:div w:id="1341858494">
      <w:bodyDiv w:val="1"/>
      <w:marLeft w:val="0"/>
      <w:marRight w:val="0"/>
      <w:marTop w:val="0"/>
      <w:marBottom w:val="0"/>
      <w:divBdr>
        <w:top w:val="none" w:sz="0" w:space="0" w:color="auto"/>
        <w:left w:val="none" w:sz="0" w:space="0" w:color="auto"/>
        <w:bottom w:val="none" w:sz="0" w:space="0" w:color="auto"/>
        <w:right w:val="none" w:sz="0" w:space="0" w:color="auto"/>
      </w:divBdr>
    </w:div>
    <w:div w:id="1475369505">
      <w:bodyDiv w:val="1"/>
      <w:marLeft w:val="0"/>
      <w:marRight w:val="0"/>
      <w:marTop w:val="0"/>
      <w:marBottom w:val="0"/>
      <w:divBdr>
        <w:top w:val="none" w:sz="0" w:space="0" w:color="auto"/>
        <w:left w:val="none" w:sz="0" w:space="0" w:color="auto"/>
        <w:bottom w:val="none" w:sz="0" w:space="0" w:color="auto"/>
        <w:right w:val="none" w:sz="0" w:space="0" w:color="auto"/>
      </w:divBdr>
    </w:div>
    <w:div w:id="1606958905">
      <w:bodyDiv w:val="1"/>
      <w:marLeft w:val="0"/>
      <w:marRight w:val="0"/>
      <w:marTop w:val="0"/>
      <w:marBottom w:val="0"/>
      <w:divBdr>
        <w:top w:val="none" w:sz="0" w:space="0" w:color="auto"/>
        <w:left w:val="none" w:sz="0" w:space="0" w:color="auto"/>
        <w:bottom w:val="none" w:sz="0" w:space="0" w:color="auto"/>
        <w:right w:val="none" w:sz="0" w:space="0" w:color="auto"/>
      </w:divBdr>
    </w:div>
    <w:div w:id="16763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9B569-9242-4551-81A8-0FA4E89B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1490</Words>
  <Characters>8499</Characters>
  <Application>Microsoft Office Word</Application>
  <DocSecurity>0</DocSecurity>
  <Lines>70</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Minas</dc:creator>
  <cp:lastModifiedBy>Κονδύλη, Ιουλία</cp:lastModifiedBy>
  <cp:revision>6</cp:revision>
  <dcterms:created xsi:type="dcterms:W3CDTF">2018-06-12T11:46:00Z</dcterms:created>
  <dcterms:modified xsi:type="dcterms:W3CDTF">2018-06-28T13:24:00Z</dcterms:modified>
</cp:coreProperties>
</file>