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C44" w:rsidRDefault="00FB3A1D" w:rsidP="00FB3A1D">
      <w:pPr>
        <w:jc w:val="center"/>
        <w:rPr>
          <w:b/>
        </w:rPr>
      </w:pPr>
      <w:r w:rsidRPr="00EC2125">
        <w:rPr>
          <w:b/>
        </w:rPr>
        <w:t xml:space="preserve">Μεθοδολογία Υπολογισμού Δείκτη Εκροής </w:t>
      </w:r>
      <w:r>
        <w:rPr>
          <w:b/>
          <w:lang w:val="en-US"/>
        </w:rPr>
        <w:t>CO</w:t>
      </w:r>
      <w:r w:rsidR="007D7C44">
        <w:rPr>
          <w:b/>
        </w:rPr>
        <w:t xml:space="preserve">34 </w:t>
      </w:r>
    </w:p>
    <w:p w:rsidR="00FB3A1D" w:rsidRPr="00EC2125" w:rsidRDefault="007D7C44" w:rsidP="00FB3A1D">
      <w:pPr>
        <w:jc w:val="center"/>
        <w:rPr>
          <w:b/>
        </w:rPr>
      </w:pPr>
      <w:r>
        <w:rPr>
          <w:b/>
        </w:rPr>
        <w:t xml:space="preserve">για δράσεις που σχετίζονται με μείωση </w:t>
      </w:r>
      <w:r w:rsidRPr="007D7C44">
        <w:rPr>
          <w:b/>
        </w:rPr>
        <w:t xml:space="preserve">κατανάλωσης πρωτογενούς ενέργειας </w:t>
      </w:r>
      <w:r>
        <w:rPr>
          <w:b/>
        </w:rPr>
        <w:t>κ</w:t>
      </w:r>
      <w:r w:rsidRPr="007D7C44">
        <w:rPr>
          <w:b/>
        </w:rPr>
        <w:t>ατοικιών</w:t>
      </w:r>
    </w:p>
    <w:p w:rsidR="00FB3A1D" w:rsidRPr="0051329D" w:rsidRDefault="00FB3A1D" w:rsidP="00FB3A1D">
      <w:bookmarkStart w:id="0" w:name="_GoBack"/>
      <w:bookmarkEnd w:id="0"/>
    </w:p>
    <w:p w:rsidR="00FB3A1D" w:rsidRPr="009F07A3" w:rsidRDefault="00FB3A1D" w:rsidP="00FB3A1D">
      <w:pPr>
        <w:rPr>
          <w:b/>
        </w:rPr>
      </w:pPr>
      <w:r w:rsidRPr="009F07A3">
        <w:rPr>
          <w:b/>
        </w:rPr>
        <w:t>Για τον υπολογισμό του δείκτη εκροής CO</w:t>
      </w:r>
      <w:r w:rsidR="007D7C44">
        <w:rPr>
          <w:b/>
        </w:rPr>
        <w:t>34</w:t>
      </w:r>
      <w:r w:rsidRPr="009F07A3">
        <w:rPr>
          <w:b/>
        </w:rPr>
        <w:t>, θα πρέπει πρώτα να υπολογισθεί η μείωση της ετήσιας κατανάλωσης πρωτογενούς ενέργειας κατοικιών και στη συνέχεια να υπολογιστεί η εκτιμώμενη ετήσια μείωση των εκπομπών των αερίων θερμοκηπίου κατοικιών.</w:t>
      </w:r>
    </w:p>
    <w:p w:rsidR="00FB3A1D" w:rsidRDefault="00FB3A1D" w:rsidP="00FB3A1D"/>
    <w:p w:rsidR="00FB3A1D" w:rsidRPr="00D23E8C" w:rsidRDefault="00FB3A1D" w:rsidP="00FB3A1D">
      <w:pPr>
        <w:rPr>
          <w:rFonts w:cs="Calibri"/>
        </w:rPr>
      </w:pPr>
      <w:r w:rsidRPr="00D23E8C">
        <w:t xml:space="preserve">Ως δεδομένα για τον υπολογισμό </w:t>
      </w:r>
      <w:r>
        <w:t>της μ</w:t>
      </w:r>
      <w:r w:rsidRPr="00D23E8C">
        <w:t>είωση</w:t>
      </w:r>
      <w:r>
        <w:t>ς</w:t>
      </w:r>
      <w:r w:rsidRPr="00D23E8C">
        <w:t xml:space="preserve"> της ετήσιας κατανάλωσης πρωτογενούς ενέργειας </w:t>
      </w:r>
      <w:r w:rsidR="007D7C44">
        <w:t>κ</w:t>
      </w:r>
      <w:r w:rsidRPr="00D23E8C">
        <w:t xml:space="preserve">ατοικιών, χρησιμοποιούνται στοιχεία, τα οποία έχουν προέλθει από </w:t>
      </w:r>
      <w:r w:rsidRPr="00D23E8C">
        <w:rPr>
          <w:rFonts w:cs="Calibri"/>
        </w:rPr>
        <w:t xml:space="preserve">την ανάλυση των Πιστοποιητικών Ενεργειακής Απόδοσης (ΠΕΑ), τα οποία έχουν εκδοθεί από την έναρξη ισχύος του ΚΕΝΑΚ και αφορούν </w:t>
      </w:r>
      <w:r w:rsidR="007D7C44">
        <w:rPr>
          <w:rFonts w:cs="Calibri"/>
        </w:rPr>
        <w:t>κ</w:t>
      </w:r>
      <w:r w:rsidRPr="00D23E8C">
        <w:rPr>
          <w:rFonts w:cs="Calibri"/>
        </w:rPr>
        <w:t xml:space="preserve">ατοικίες (με κατάταξη σε κατηγορία ενεργειακής απόδοσης μικρότερης ή ίσης της Δ’). Ο συνολικός αριθμός των ανωτέρω ΠΕΑ είναι ίσος με 949. Τα ΠΕΑ αυτά έχουν εκδοθεί </w:t>
      </w:r>
      <w:r w:rsidRPr="00D23E8C">
        <w:t>από τα τμήματα Επιθεώρησης Ενέργειας Βορείου και Νοτίου Ελλάδος του Σώματος Επιθεώρησης Περιβάλλοντος, Δόμησης, Ενέργειας και Μεταλλείων</w:t>
      </w:r>
      <w:r w:rsidRPr="00D23E8C">
        <w:rPr>
          <w:rFonts w:cs="Calibri"/>
        </w:rPr>
        <w:t>.</w:t>
      </w:r>
    </w:p>
    <w:p w:rsidR="00FB3A1D" w:rsidRPr="00D23E8C" w:rsidRDefault="00FB3A1D" w:rsidP="00FB3A1D">
      <w:pPr>
        <w:rPr>
          <w:rFonts w:cs="Calibri"/>
        </w:rPr>
      </w:pPr>
      <w:r w:rsidRPr="00D23E8C">
        <w:rPr>
          <w:rFonts w:cs="Calibri"/>
        </w:rPr>
        <w:t>Πιο συγκεκριμένα, η μεθοδολογική προσέγγιση που εφαρμόστηκε περιλαμβάνει τα ακόλουθα βήματα:</w:t>
      </w:r>
    </w:p>
    <w:p w:rsidR="00FB3A1D" w:rsidRPr="00D23E8C" w:rsidRDefault="00FB3A1D" w:rsidP="00FB3A1D">
      <w:pPr>
        <w:ind w:left="709" w:hanging="709"/>
        <w:rPr>
          <w:rFonts w:cs="Calibri"/>
        </w:rPr>
      </w:pPr>
      <w:proofErr w:type="gramStart"/>
      <w:r w:rsidRPr="00D23E8C">
        <w:rPr>
          <w:rFonts w:cs="Calibri"/>
          <w:lang w:val="en-US"/>
        </w:rPr>
        <w:t>I</w:t>
      </w:r>
      <w:r w:rsidRPr="00D23E8C">
        <w:rPr>
          <w:rFonts w:cs="Calibri"/>
        </w:rPr>
        <w:t>.</w:t>
      </w:r>
      <w:bookmarkStart w:id="1" w:name="_Ref513025324"/>
      <w:r w:rsidRPr="00D23E8C">
        <w:rPr>
          <w:rFonts w:cs="Calibri"/>
        </w:rPr>
        <w:tab/>
        <w:t xml:space="preserve">Συλλογή εκδοθέντων ΠΕΑ για τις ακόλουθες κατηγορίες </w:t>
      </w:r>
      <w:r w:rsidR="007D7C44">
        <w:rPr>
          <w:rFonts w:cs="Calibri"/>
        </w:rPr>
        <w:t>κ</w:t>
      </w:r>
      <w:r w:rsidRPr="00D23E8C">
        <w:rPr>
          <w:rFonts w:cs="Calibri"/>
        </w:rPr>
        <w:t>ατοικιών: α) Μονοκατοικίες, β) Πολυκατοικίες.</w:t>
      </w:r>
      <w:bookmarkEnd w:id="1"/>
      <w:proofErr w:type="gramEnd"/>
    </w:p>
    <w:p w:rsidR="00FB3A1D" w:rsidRPr="00D23E8C" w:rsidRDefault="00FB3A1D" w:rsidP="00FB3A1D">
      <w:pPr>
        <w:ind w:left="709" w:hanging="709"/>
        <w:rPr>
          <w:rFonts w:cs="Calibri"/>
        </w:rPr>
      </w:pPr>
      <w:r w:rsidRPr="00D23E8C">
        <w:rPr>
          <w:rFonts w:cs="Calibri"/>
          <w:lang w:val="en-US"/>
        </w:rPr>
        <w:t>II</w:t>
      </w:r>
      <w:r w:rsidRPr="00D23E8C">
        <w:rPr>
          <w:rFonts w:cs="Calibri"/>
        </w:rPr>
        <w:t>.</w:t>
      </w:r>
      <w:r w:rsidRPr="00D23E8C">
        <w:rPr>
          <w:rFonts w:cs="Calibri"/>
        </w:rPr>
        <w:tab/>
        <w:t xml:space="preserve">Επεξεργασία στοιχείων των εκδοθέντων ΠΕΑ </w:t>
      </w:r>
      <w:r w:rsidRPr="00D23E8C">
        <w:rPr>
          <w:rFonts w:cs="Calibri"/>
          <w:b/>
        </w:rPr>
        <w:t xml:space="preserve">(εξαγωγή από το συνολικό δείγμα των κτιρίων με ενεργειακή κατάταξη από Α+’ έως και Γ’. </w:t>
      </w:r>
      <w:r w:rsidRPr="00D23E8C">
        <w:rPr>
          <w:rFonts w:cs="Calibri"/>
        </w:rPr>
        <w:t>Το τελικό συνολικό δείγμα αποτελείται από 269 ΠΕΑ σε Μονοκατοικίες και 586 ΠΕΑ σε Πολυκατοικίες (συνολικά 855 ΠΕΑ).</w:t>
      </w:r>
    </w:p>
    <w:p w:rsidR="00FB3A1D" w:rsidRPr="00D23E8C" w:rsidRDefault="00FB3A1D" w:rsidP="00FB3A1D">
      <w:pPr>
        <w:ind w:left="709" w:hanging="709"/>
        <w:rPr>
          <w:rFonts w:cs="Calibri"/>
        </w:rPr>
      </w:pPr>
      <w:proofErr w:type="gramStart"/>
      <w:r w:rsidRPr="00D23E8C">
        <w:rPr>
          <w:rFonts w:cs="Calibri"/>
          <w:lang w:val="en-US"/>
        </w:rPr>
        <w:t>III</w:t>
      </w:r>
      <w:r w:rsidRPr="00D23E8C">
        <w:rPr>
          <w:rFonts w:cs="Calibri"/>
        </w:rPr>
        <w:t>.</w:t>
      </w:r>
      <w:r w:rsidRPr="00D23E8C">
        <w:rPr>
          <w:rFonts w:cs="Calibri"/>
        </w:rPr>
        <w:tab/>
        <w:t xml:space="preserve">Προσδιορισμός των μέσων τιμών κατανάλωσης πρωτογενούς ενέργειας των δύο (2) εξεταζόμενων κατηγοριών </w:t>
      </w:r>
      <w:r w:rsidR="007D7C44">
        <w:rPr>
          <w:rFonts w:cs="Calibri"/>
        </w:rPr>
        <w:t>κ</w:t>
      </w:r>
      <w:r w:rsidRPr="00D23E8C">
        <w:rPr>
          <w:rFonts w:cs="Calibri"/>
        </w:rPr>
        <w:t>ατοικιών που κατατάσσονται στις ενεργειακές κλάσεις Δ’, Ε’, Ζ’ και Η’ και των αντίστοιχων μειώσεων της κατανάλωσης πρωτογενούς ενέργειας από ενδεχόμενη κατάταξη τους στην ενεργειακή κλάση Β (κτίριο αναφοράς).</w:t>
      </w:r>
      <w:proofErr w:type="gramEnd"/>
    </w:p>
    <w:p w:rsidR="00FB3A1D" w:rsidRPr="0051329D" w:rsidRDefault="00FB3A1D" w:rsidP="00FB3A1D">
      <w:pPr>
        <w:ind w:left="709" w:hanging="709"/>
        <w:rPr>
          <w:rFonts w:cs="Calibri"/>
        </w:rPr>
      </w:pPr>
      <w:r w:rsidRPr="00D23E8C">
        <w:rPr>
          <w:rFonts w:cs="Calibri"/>
          <w:lang w:val="en-US"/>
        </w:rPr>
        <w:t>IV</w:t>
      </w:r>
      <w:r w:rsidRPr="00D23E8C">
        <w:rPr>
          <w:rFonts w:cs="Calibri"/>
        </w:rPr>
        <w:t>.</w:t>
      </w:r>
      <w:r w:rsidRPr="00D23E8C">
        <w:rPr>
          <w:rFonts w:cs="Calibri"/>
        </w:rPr>
        <w:tab/>
        <w:t>Υπολογισμός της μέσης εξοικονόμησης πρωτογενούς ενέργειας για κάθε κατηγορία δημοσίων</w:t>
      </w:r>
      <w:r w:rsidRPr="0051329D">
        <w:rPr>
          <w:rFonts w:cs="Calibri"/>
        </w:rPr>
        <w:t xml:space="preserve"> κτιρίων ξεχωριστά.</w:t>
      </w:r>
    </w:p>
    <w:p w:rsidR="00FB3A1D" w:rsidRPr="0051329D" w:rsidRDefault="00FB3A1D" w:rsidP="00FB3A1D">
      <w:pPr>
        <w:ind w:left="709" w:hanging="709"/>
        <w:rPr>
          <w:rFonts w:cs="Calibri"/>
        </w:rPr>
      </w:pPr>
      <w:proofErr w:type="gramStart"/>
      <w:r>
        <w:rPr>
          <w:rFonts w:cs="Calibri"/>
          <w:lang w:val="en-US"/>
        </w:rPr>
        <w:t>V</w:t>
      </w:r>
      <w:r w:rsidRPr="0051329D">
        <w:rPr>
          <w:rFonts w:cs="Calibri"/>
        </w:rPr>
        <w:t>.</w:t>
      </w:r>
      <w:r w:rsidRPr="0051329D">
        <w:rPr>
          <w:rFonts w:cs="Calibri"/>
        </w:rPr>
        <w:tab/>
        <w:t>Προσαρμογή των υπολογιζόμενων τιμών της εξοικονομούμενης πρωτογενούς ενέργειας βάσει της αναθεωρημένης έκδοσης του ΚΕΝΑΚ (</w:t>
      </w:r>
      <w:proofErr w:type="spellStart"/>
      <w:r w:rsidRPr="0051329D">
        <w:rPr>
          <w:rFonts w:cs="Calibri"/>
        </w:rPr>
        <w:t>απομείωση</w:t>
      </w:r>
      <w:proofErr w:type="spellEnd"/>
      <w:r w:rsidRPr="0051329D">
        <w:rPr>
          <w:rFonts w:cs="Calibri"/>
        </w:rPr>
        <w:t xml:space="preserve"> 10% της ετήσιας κατανάλωσης πρωτογενούς ενέργειας τόσο στην υφιστάμενη ενεργειακή κλάση, όσο και στην ενεργειακή κλάση του κτιρίου αναφοράς).</w:t>
      </w:r>
      <w:proofErr w:type="gramEnd"/>
    </w:p>
    <w:p w:rsidR="00FB3A1D" w:rsidRPr="0051329D" w:rsidRDefault="00FB3A1D" w:rsidP="00FB3A1D">
      <w:pPr>
        <w:ind w:left="709" w:hanging="709"/>
        <w:rPr>
          <w:rFonts w:cs="Calibri"/>
        </w:rPr>
      </w:pPr>
      <w:r>
        <w:rPr>
          <w:rFonts w:cs="Calibri"/>
          <w:lang w:val="en-US"/>
        </w:rPr>
        <w:t>VI</w:t>
      </w:r>
      <w:r w:rsidRPr="0051329D">
        <w:rPr>
          <w:rFonts w:cs="Calibri"/>
        </w:rPr>
        <w:t>.</w:t>
      </w:r>
      <w:r w:rsidRPr="0051329D">
        <w:rPr>
          <w:rFonts w:cs="Calibri"/>
        </w:rPr>
        <w:tab/>
        <w:t>Υπολογισμός της σταθμισμένης εξοικονόμησης πρωτογενούς ενέργειας για τα εξεταζόμενα Επιχειρησιακά Προγράμματα, βάσει συγκεκριμένων εκτιμήσεων αναφορικά με το ποσοστό συμμετοχής των εξεταζόμενων κατηγοριών δημοσίων κτιρίων σε κάθε πρόγραμμα ξεχωριστά.</w:t>
      </w:r>
    </w:p>
    <w:p w:rsidR="00FB3A1D" w:rsidRDefault="00FB3A1D" w:rsidP="00FB3A1D">
      <w:pPr>
        <w:rPr>
          <w:rFonts w:cs="Calibri"/>
        </w:rPr>
      </w:pPr>
      <w:r w:rsidRPr="00EB5692">
        <w:rPr>
          <w:rFonts w:cs="Calibri"/>
        </w:rPr>
        <w:t xml:space="preserve">Η εφαρμογή της παραπάνω μεθοδολογικής προσέγγισης οδήγησε στον προσδιορισμό των ακόλουθων </w:t>
      </w:r>
      <w:r>
        <w:rPr>
          <w:rFonts w:cs="Calibri"/>
        </w:rPr>
        <w:t>μεγεθών</w:t>
      </w:r>
      <w:r w:rsidRPr="00EB5692">
        <w:rPr>
          <w:rFonts w:cs="Calibri"/>
        </w:rPr>
        <w:t>:</w:t>
      </w:r>
    </w:p>
    <w:p w:rsidR="00FB3A1D" w:rsidRPr="00040408" w:rsidRDefault="00FB3A1D" w:rsidP="00FB3A1D">
      <w:pPr>
        <w:ind w:firstLine="720"/>
        <w:rPr>
          <w:rFonts w:cs="Calibri"/>
        </w:rPr>
      </w:pPr>
    </w:p>
    <w:tbl>
      <w:tblPr>
        <w:tblW w:w="89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5"/>
        <w:gridCol w:w="1710"/>
        <w:gridCol w:w="2430"/>
        <w:gridCol w:w="2805"/>
      </w:tblGrid>
      <w:tr w:rsidR="00FB3A1D" w:rsidRPr="00EB5692" w:rsidTr="000B3C64">
        <w:trPr>
          <w:trHeight w:val="133"/>
          <w:jc w:val="center"/>
        </w:trPr>
        <w:tc>
          <w:tcPr>
            <w:tcW w:w="2025" w:type="dxa"/>
            <w:shd w:val="clear" w:color="auto" w:fill="D9D9D9" w:themeFill="background1" w:themeFillShade="D9"/>
            <w:noWrap/>
            <w:vAlign w:val="center"/>
          </w:tcPr>
          <w:p w:rsidR="00FB3A1D" w:rsidRPr="0051329D" w:rsidRDefault="00FB3A1D" w:rsidP="000B3C64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ΠΡΟΓΡΑΜΜΑΤΑ</w:t>
            </w:r>
          </w:p>
        </w:tc>
        <w:tc>
          <w:tcPr>
            <w:tcW w:w="1710" w:type="dxa"/>
            <w:shd w:val="clear" w:color="auto" w:fill="D9D9D9" w:themeFill="background1" w:themeFillShade="D9"/>
            <w:noWrap/>
            <w:vAlign w:val="bottom"/>
            <w:hideMark/>
          </w:tcPr>
          <w:p w:rsidR="00FB3A1D" w:rsidRPr="0051329D" w:rsidRDefault="00FB3A1D" w:rsidP="000B3C64">
            <w:pPr>
              <w:jc w:val="center"/>
              <w:rPr>
                <w:b/>
              </w:rPr>
            </w:pPr>
            <w:r w:rsidRPr="0051329D">
              <w:rPr>
                <w:b/>
              </w:rPr>
              <w:t>Ποσοστό συμμετοχής στο πρόγραμμα</w:t>
            </w:r>
          </w:p>
        </w:tc>
        <w:tc>
          <w:tcPr>
            <w:tcW w:w="2430" w:type="dxa"/>
            <w:shd w:val="clear" w:color="auto" w:fill="D9D9D9" w:themeFill="background1" w:themeFillShade="D9"/>
            <w:vAlign w:val="bottom"/>
            <w:hideMark/>
          </w:tcPr>
          <w:p w:rsidR="00FB3A1D" w:rsidRPr="0051329D" w:rsidRDefault="00FB3A1D" w:rsidP="000B3C64">
            <w:pPr>
              <w:jc w:val="center"/>
              <w:rPr>
                <w:b/>
              </w:rPr>
            </w:pPr>
            <w:r w:rsidRPr="0051329D">
              <w:rPr>
                <w:b/>
              </w:rPr>
              <w:t>Μέση εξοικονόμηση πρωτογενούς ενέργειας (kWh/m</w:t>
            </w:r>
            <w:r w:rsidRPr="00926FBB">
              <w:rPr>
                <w:b/>
                <w:vertAlign w:val="superscript"/>
              </w:rPr>
              <w:t>2</w:t>
            </w:r>
            <w:r w:rsidRPr="0051329D">
              <w:rPr>
                <w:b/>
              </w:rPr>
              <w:t>/έτος)</w:t>
            </w:r>
          </w:p>
        </w:tc>
        <w:tc>
          <w:tcPr>
            <w:tcW w:w="2805" w:type="dxa"/>
            <w:shd w:val="clear" w:color="auto" w:fill="D9D9D9" w:themeFill="background1" w:themeFillShade="D9"/>
            <w:vAlign w:val="bottom"/>
            <w:hideMark/>
          </w:tcPr>
          <w:p w:rsidR="00FB3A1D" w:rsidRPr="0051329D" w:rsidRDefault="00FB3A1D" w:rsidP="000B3C64">
            <w:pPr>
              <w:jc w:val="center"/>
              <w:rPr>
                <w:b/>
              </w:rPr>
            </w:pPr>
            <w:r w:rsidRPr="0051329D">
              <w:rPr>
                <w:b/>
              </w:rPr>
              <w:t>Σταθμισμένη εξοικονόμηση πρωτογενούς ενέργειας (kWh/m</w:t>
            </w:r>
            <w:r w:rsidRPr="00926FBB">
              <w:rPr>
                <w:b/>
                <w:vertAlign w:val="superscript"/>
              </w:rPr>
              <w:t>2</w:t>
            </w:r>
            <w:r w:rsidRPr="00926FBB">
              <w:rPr>
                <w:b/>
              </w:rPr>
              <w:t>/</w:t>
            </w:r>
            <w:r w:rsidRPr="0051329D">
              <w:rPr>
                <w:b/>
              </w:rPr>
              <w:t>έτος)</w:t>
            </w:r>
          </w:p>
        </w:tc>
      </w:tr>
      <w:tr w:rsidR="00FB3A1D" w:rsidRPr="00AD2978" w:rsidTr="000B3C64">
        <w:trPr>
          <w:trHeight w:val="261"/>
          <w:jc w:val="center"/>
        </w:trPr>
        <w:tc>
          <w:tcPr>
            <w:tcW w:w="2025" w:type="dxa"/>
            <w:shd w:val="clear" w:color="auto" w:fill="auto"/>
            <w:noWrap/>
            <w:vAlign w:val="bottom"/>
            <w:hideMark/>
          </w:tcPr>
          <w:p w:rsidR="00FB3A1D" w:rsidRPr="0051329D" w:rsidRDefault="00FB3A1D" w:rsidP="000B3C64">
            <w:pPr>
              <w:jc w:val="center"/>
            </w:pPr>
            <w:r>
              <w:t>Μονοκατοικία</w:t>
            </w:r>
          </w:p>
        </w:tc>
        <w:tc>
          <w:tcPr>
            <w:tcW w:w="1710" w:type="dxa"/>
            <w:shd w:val="clear" w:color="auto" w:fill="FFFFFF" w:themeFill="background1"/>
            <w:noWrap/>
            <w:vAlign w:val="bottom"/>
            <w:hideMark/>
          </w:tcPr>
          <w:p w:rsidR="00FB3A1D" w:rsidRPr="0051329D" w:rsidRDefault="00FB3A1D" w:rsidP="000B3C64">
            <w:pPr>
              <w:jc w:val="center"/>
            </w:pPr>
            <w:r>
              <w:rPr>
                <w:lang w:val="en-US"/>
              </w:rPr>
              <w:t>3</w:t>
            </w:r>
            <w:r>
              <w:t>0</w:t>
            </w:r>
            <w:r w:rsidRPr="0051329D">
              <w:t>%</w:t>
            </w:r>
          </w:p>
        </w:tc>
        <w:tc>
          <w:tcPr>
            <w:tcW w:w="2430" w:type="dxa"/>
            <w:shd w:val="clear" w:color="auto" w:fill="FFFFFF" w:themeFill="background1"/>
            <w:noWrap/>
            <w:vAlign w:val="bottom"/>
            <w:hideMark/>
          </w:tcPr>
          <w:p w:rsidR="00FB3A1D" w:rsidRPr="0051329D" w:rsidRDefault="00FB3A1D" w:rsidP="000B3C64">
            <w:pPr>
              <w:jc w:val="center"/>
            </w:pPr>
            <w:r>
              <w:t>177</w:t>
            </w:r>
          </w:p>
        </w:tc>
        <w:tc>
          <w:tcPr>
            <w:tcW w:w="2805" w:type="dxa"/>
            <w:vMerge w:val="restart"/>
            <w:shd w:val="clear" w:color="auto" w:fill="auto"/>
            <w:noWrap/>
            <w:vAlign w:val="center"/>
            <w:hideMark/>
          </w:tcPr>
          <w:p w:rsidR="00FB3A1D" w:rsidRPr="0051329D" w:rsidRDefault="00FB3A1D" w:rsidP="000B3C64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143</w:t>
            </w:r>
            <w:r>
              <w:rPr>
                <w:b/>
              </w:rPr>
              <w:t xml:space="preserve"> </w:t>
            </w:r>
            <w:r w:rsidRPr="0051329D">
              <w:rPr>
                <w:b/>
              </w:rPr>
              <w:t>≈</w:t>
            </w:r>
            <w:r>
              <w:rPr>
                <w:b/>
              </w:rPr>
              <w:t xml:space="preserve"> 1</w:t>
            </w:r>
            <w:r>
              <w:rPr>
                <w:b/>
                <w:lang w:val="en-US"/>
              </w:rPr>
              <w:t>4</w:t>
            </w:r>
            <w:r>
              <w:rPr>
                <w:b/>
              </w:rPr>
              <w:t>0</w:t>
            </w:r>
          </w:p>
        </w:tc>
      </w:tr>
      <w:tr w:rsidR="00FB3A1D" w:rsidRPr="00AD2978" w:rsidTr="000B3C64">
        <w:trPr>
          <w:trHeight w:val="276"/>
          <w:jc w:val="center"/>
        </w:trPr>
        <w:tc>
          <w:tcPr>
            <w:tcW w:w="2025" w:type="dxa"/>
            <w:shd w:val="clear" w:color="auto" w:fill="auto"/>
            <w:noWrap/>
            <w:vAlign w:val="bottom"/>
            <w:hideMark/>
          </w:tcPr>
          <w:p w:rsidR="00FB3A1D" w:rsidRPr="0051329D" w:rsidRDefault="00FB3A1D" w:rsidP="000B3C64">
            <w:pPr>
              <w:jc w:val="center"/>
            </w:pPr>
            <w:r>
              <w:t>Πολυκατοικία</w:t>
            </w:r>
          </w:p>
        </w:tc>
        <w:tc>
          <w:tcPr>
            <w:tcW w:w="1710" w:type="dxa"/>
            <w:shd w:val="clear" w:color="auto" w:fill="FFFFFF" w:themeFill="background1"/>
            <w:noWrap/>
            <w:vAlign w:val="bottom"/>
            <w:hideMark/>
          </w:tcPr>
          <w:p w:rsidR="00FB3A1D" w:rsidRPr="0051329D" w:rsidRDefault="00FB3A1D" w:rsidP="000B3C64">
            <w:pPr>
              <w:jc w:val="center"/>
            </w:pPr>
            <w:r>
              <w:rPr>
                <w:lang w:val="en-US"/>
              </w:rPr>
              <w:t>7</w:t>
            </w:r>
            <w:r w:rsidRPr="0051329D">
              <w:t>0%</w:t>
            </w:r>
          </w:p>
        </w:tc>
        <w:tc>
          <w:tcPr>
            <w:tcW w:w="2430" w:type="dxa"/>
            <w:shd w:val="clear" w:color="auto" w:fill="FFFFFF" w:themeFill="background1"/>
            <w:noWrap/>
            <w:vAlign w:val="bottom"/>
            <w:hideMark/>
          </w:tcPr>
          <w:p w:rsidR="00FB3A1D" w:rsidRPr="0051329D" w:rsidRDefault="00FB3A1D" w:rsidP="000B3C64">
            <w:pPr>
              <w:jc w:val="center"/>
            </w:pPr>
            <w:r>
              <w:t>128</w:t>
            </w:r>
          </w:p>
        </w:tc>
        <w:tc>
          <w:tcPr>
            <w:tcW w:w="2805" w:type="dxa"/>
            <w:vMerge/>
            <w:shd w:val="clear" w:color="auto" w:fill="auto"/>
            <w:noWrap/>
            <w:vAlign w:val="bottom"/>
            <w:hideMark/>
          </w:tcPr>
          <w:p w:rsidR="00FB3A1D" w:rsidRPr="00040408" w:rsidRDefault="00FB3A1D" w:rsidP="000B3C64">
            <w:pPr>
              <w:spacing w:line="240" w:lineRule="auto"/>
              <w:jc w:val="center"/>
              <w:rPr>
                <w:rFonts w:eastAsia="Times New Roman" w:cstheme="minorHAnsi"/>
                <w:lang w:val="en-US"/>
              </w:rPr>
            </w:pPr>
          </w:p>
        </w:tc>
      </w:tr>
    </w:tbl>
    <w:p w:rsidR="00FB3A1D" w:rsidRDefault="00FB3A1D" w:rsidP="00FB3A1D">
      <w:pPr>
        <w:ind w:firstLine="720"/>
      </w:pPr>
    </w:p>
    <w:p w:rsidR="00FB3A1D" w:rsidRDefault="00FB3A1D" w:rsidP="00FB3A1D">
      <w:pPr>
        <w:rPr>
          <w:u w:val="single"/>
        </w:rPr>
      </w:pPr>
    </w:p>
    <w:p w:rsidR="00FB3A1D" w:rsidRPr="009F07A3" w:rsidRDefault="00FB3A1D" w:rsidP="00FB3A1D">
      <w:pPr>
        <w:rPr>
          <w:u w:val="single"/>
        </w:rPr>
      </w:pPr>
      <w:r w:rsidRPr="009F07A3">
        <w:rPr>
          <w:u w:val="single"/>
        </w:rPr>
        <w:t>Ο υπολογισμός της μείωσης της ετήσιας κατ</w:t>
      </w:r>
      <w:r w:rsidR="007D7C44">
        <w:rPr>
          <w:u w:val="single"/>
        </w:rPr>
        <w:t>ανάλωσης πρωτογενούς ενέργειας κ</w:t>
      </w:r>
      <w:r w:rsidRPr="009F07A3">
        <w:rPr>
          <w:u w:val="single"/>
        </w:rPr>
        <w:t>ατοικιών</w:t>
      </w:r>
      <w:r w:rsidRPr="009F07A3">
        <w:rPr>
          <w:b/>
          <w:u w:val="single"/>
        </w:rPr>
        <w:t xml:space="preserve"> </w:t>
      </w:r>
      <w:r w:rsidRPr="009F07A3">
        <w:rPr>
          <w:u w:val="single"/>
        </w:rPr>
        <w:t xml:space="preserve">μπορεί να προσδιοριστεί </w:t>
      </w:r>
      <w:r>
        <w:rPr>
          <w:u w:val="single"/>
        </w:rPr>
        <w:t>ως εξής</w:t>
      </w:r>
      <w:r w:rsidRPr="009F07A3">
        <w:rPr>
          <w:u w:val="single"/>
        </w:rPr>
        <w:t>:</w:t>
      </w:r>
    </w:p>
    <w:p w:rsidR="00FB3A1D" w:rsidRDefault="00FB3A1D" w:rsidP="00FB3A1D">
      <w:r w:rsidRPr="00D23E8C">
        <w:t xml:space="preserve">Έστω ότι </w:t>
      </w:r>
      <w:r>
        <w:t>ο</w:t>
      </w:r>
      <w:r w:rsidRPr="00D23E8C">
        <w:t xml:space="preserve"> διατιθέμενος Π/Υ για την χρηματοδοτική κάλυψη δράσεων στο πλαίσιο μίας Πρόσκλησης ενός Επιχειρησιακού Προγράμματος ισούται με 10.000.000 €. </w:t>
      </w:r>
    </w:p>
    <w:p w:rsidR="00FB3A1D" w:rsidRPr="009F07A3" w:rsidRDefault="00FB3A1D" w:rsidP="00FB3A1D">
      <w:r>
        <w:t xml:space="preserve">Το μέσο </w:t>
      </w:r>
      <w:r w:rsidRPr="00D23E8C">
        <w:t>μοναδιαίο κόστος</w:t>
      </w:r>
      <w:r>
        <w:t xml:space="preserve"> ανά </w:t>
      </w:r>
      <w:r w:rsidRPr="00D23E8C">
        <w:t xml:space="preserve">συνολική επιφάνεια </w:t>
      </w:r>
      <w:r w:rsidR="007D7C44">
        <w:t>κ</w:t>
      </w:r>
      <w:r w:rsidRPr="00D23E8C">
        <w:t>ατοικιών</w:t>
      </w:r>
      <w:r>
        <w:t xml:space="preserve"> που αναβαθμίζονται ενεργειακά είναι</w:t>
      </w:r>
      <w:r w:rsidRPr="00D23E8C">
        <w:t xml:space="preserve"> 250 €/</w:t>
      </w:r>
      <w:r w:rsidRPr="00D23E8C">
        <w:rPr>
          <w:lang w:val="en-US"/>
        </w:rPr>
        <w:t>m</w:t>
      </w:r>
      <w:r w:rsidRPr="00D23E8C">
        <w:rPr>
          <w:vertAlign w:val="superscript"/>
        </w:rPr>
        <w:t>2</w:t>
      </w:r>
      <w:r>
        <w:t>.</w:t>
      </w:r>
    </w:p>
    <w:p w:rsidR="00FB3A1D" w:rsidRDefault="00FB3A1D" w:rsidP="00FB3A1D"/>
    <w:p w:rsidR="00FB3A1D" w:rsidRDefault="00FB3A1D" w:rsidP="00FB3A1D">
      <w:r w:rsidRPr="00D23E8C">
        <w:t xml:space="preserve">Το εμβαδόν της συνολικής επιφάνειας των </w:t>
      </w:r>
      <w:r w:rsidR="007D7C44">
        <w:t>κ</w:t>
      </w:r>
      <w:r w:rsidRPr="00D23E8C">
        <w:t>ατοικιών</w:t>
      </w:r>
      <w:r>
        <w:t xml:space="preserve"> που </w:t>
      </w:r>
      <w:r w:rsidRPr="00D23E8C">
        <w:t>αναβαθμίζ</w:t>
      </w:r>
      <w:r>
        <w:t>ον</w:t>
      </w:r>
      <w:r w:rsidRPr="00D23E8C">
        <w:t>ται ενεργειακά ισούται με:</w:t>
      </w:r>
    </w:p>
    <w:p w:rsidR="00FB3A1D" w:rsidRPr="002C7DE4" w:rsidRDefault="00FB3A1D" w:rsidP="00FB3A1D">
      <w:pPr>
        <w:jc w:val="center"/>
        <w:rPr>
          <w:b/>
        </w:rPr>
      </w:pPr>
      <w:r w:rsidRPr="009F07A3">
        <w:rPr>
          <w:b/>
        </w:rPr>
        <w:t xml:space="preserve">10.000.000 / 250 = 40.000,00 </w:t>
      </w:r>
      <w:r w:rsidRPr="009F07A3">
        <w:rPr>
          <w:b/>
          <w:lang w:val="en-US"/>
        </w:rPr>
        <w:t>m</w:t>
      </w:r>
      <w:r w:rsidRPr="009F07A3">
        <w:rPr>
          <w:b/>
          <w:vertAlign w:val="superscript"/>
        </w:rPr>
        <w:t>2</w:t>
      </w:r>
      <w:r>
        <w:rPr>
          <w:b/>
          <w:vertAlign w:val="superscript"/>
        </w:rPr>
        <w:t xml:space="preserve">  </w:t>
      </w:r>
      <w:r>
        <w:rPr>
          <w:b/>
        </w:rPr>
        <w:t>[1]</w:t>
      </w:r>
    </w:p>
    <w:p w:rsidR="00FB3A1D" w:rsidRPr="00D23E8C" w:rsidRDefault="00FB3A1D" w:rsidP="00FB3A1D"/>
    <w:p w:rsidR="00FB3A1D" w:rsidRDefault="00FB3A1D" w:rsidP="00FB3A1D">
      <w:r w:rsidRPr="00D23E8C">
        <w:t xml:space="preserve">Δεδομένου ότι η σταθμισμένη εξοικονόμηση πρωτογενούς ενέργειας στις </w:t>
      </w:r>
      <w:r w:rsidR="007D7C44">
        <w:t>κ</w:t>
      </w:r>
      <w:r w:rsidRPr="00D23E8C">
        <w:t>ατοικίες για την περίπτωση των Επιχειρησιακών Προγραμμάτων (Τομεακών και Περιφερ</w:t>
      </w:r>
      <w:r>
        <w:t>ε</w:t>
      </w:r>
      <w:r w:rsidRPr="00D23E8C">
        <w:t xml:space="preserve">ιακών) ισούται με 140 </w:t>
      </w:r>
      <w:r w:rsidRPr="00D23E8C">
        <w:rPr>
          <w:rFonts w:cs="Calibri"/>
        </w:rPr>
        <w:t>kWh/(m</w:t>
      </w:r>
      <w:r w:rsidRPr="00D23E8C">
        <w:rPr>
          <w:rFonts w:cs="Calibri"/>
          <w:vertAlign w:val="superscript"/>
        </w:rPr>
        <w:t>2</w:t>
      </w:r>
      <w:r w:rsidRPr="00D23E8C">
        <w:rPr>
          <w:rFonts w:cs="Calibri"/>
        </w:rPr>
        <w:t xml:space="preserve"> x έτος)</w:t>
      </w:r>
      <w:r>
        <w:rPr>
          <w:rFonts w:cs="Calibri"/>
        </w:rPr>
        <w:t xml:space="preserve"> (βλ. ανωτέρω Πίνακα)</w:t>
      </w:r>
      <w:r w:rsidRPr="00D23E8C">
        <w:rPr>
          <w:rFonts w:cs="Calibri"/>
        </w:rPr>
        <w:t>, η</w:t>
      </w:r>
      <w:r>
        <w:rPr>
          <w:rFonts w:cs="Calibri"/>
        </w:rPr>
        <w:t xml:space="preserve"> μ</w:t>
      </w:r>
      <w:r w:rsidRPr="00D23E8C">
        <w:t xml:space="preserve">είωση της ετήσιας κατανάλωσης πρωτογενούς ενέργειας </w:t>
      </w:r>
      <w:r w:rsidR="007D7C44">
        <w:t>κ</w:t>
      </w:r>
      <w:r w:rsidRPr="00D23E8C">
        <w:t>ατοικιών ισούται με:</w:t>
      </w:r>
    </w:p>
    <w:p w:rsidR="00FB3A1D" w:rsidRPr="00D23E8C" w:rsidRDefault="00FB3A1D" w:rsidP="00FB3A1D"/>
    <w:p w:rsidR="00FB3A1D" w:rsidRPr="002C7DE4" w:rsidRDefault="00FB3A1D" w:rsidP="00FB3A1D">
      <w:pPr>
        <w:jc w:val="center"/>
        <w:rPr>
          <w:rFonts w:cs="Calibri"/>
          <w:b/>
        </w:rPr>
      </w:pPr>
      <w:r w:rsidRPr="002C7DE4">
        <w:rPr>
          <w:b/>
        </w:rPr>
        <w:t xml:space="preserve">140 </w:t>
      </w:r>
      <w:r w:rsidRPr="002C7DE4">
        <w:rPr>
          <w:rFonts w:cs="Calibri"/>
          <w:b/>
        </w:rPr>
        <w:t>kWh/(m</w:t>
      </w:r>
      <w:r w:rsidRPr="002C7DE4">
        <w:rPr>
          <w:rFonts w:cs="Calibri"/>
          <w:b/>
          <w:vertAlign w:val="superscript"/>
        </w:rPr>
        <w:t>2</w:t>
      </w:r>
      <w:r w:rsidRPr="002C7DE4">
        <w:rPr>
          <w:rFonts w:cs="Calibri"/>
          <w:b/>
        </w:rPr>
        <w:t xml:space="preserve"> x έτος) </w:t>
      </w:r>
      <w:r w:rsidRPr="002C7DE4">
        <w:rPr>
          <w:b/>
        </w:rPr>
        <w:t xml:space="preserve">x 40.000,00 </w:t>
      </w:r>
      <w:r w:rsidRPr="002C7DE4">
        <w:rPr>
          <w:b/>
          <w:lang w:val="en-US"/>
        </w:rPr>
        <w:t>m</w:t>
      </w:r>
      <w:r w:rsidRPr="002C7DE4">
        <w:rPr>
          <w:b/>
          <w:vertAlign w:val="superscript"/>
        </w:rPr>
        <w:t>2</w:t>
      </w:r>
      <w:r w:rsidRPr="002C7DE4">
        <w:rPr>
          <w:b/>
        </w:rPr>
        <w:t xml:space="preserve">= 5.600.000 </w:t>
      </w:r>
      <w:r w:rsidRPr="002C7DE4">
        <w:rPr>
          <w:rFonts w:cs="Calibri"/>
          <w:b/>
          <w:lang w:val="en-US"/>
        </w:rPr>
        <w:t>kWh</w:t>
      </w:r>
      <w:r w:rsidRPr="002C7DE4">
        <w:rPr>
          <w:rFonts w:cs="Calibri"/>
          <w:b/>
        </w:rPr>
        <w:t>/έτος</w:t>
      </w:r>
      <w:r>
        <w:rPr>
          <w:rFonts w:cs="Calibri"/>
          <w:b/>
        </w:rPr>
        <w:t xml:space="preserve">  [2]</w:t>
      </w:r>
    </w:p>
    <w:p w:rsidR="00FB3A1D" w:rsidRPr="00D23E8C" w:rsidRDefault="00FB3A1D" w:rsidP="00FB3A1D"/>
    <w:p w:rsidR="00FB3A1D" w:rsidRDefault="00FB3A1D" w:rsidP="00FB3A1D">
      <w:r>
        <w:t>Επομένως:</w:t>
      </w:r>
      <w:r w:rsidRPr="00D23E8C">
        <w:t xml:space="preserve"> </w:t>
      </w:r>
    </w:p>
    <w:p w:rsidR="00FB3A1D" w:rsidRDefault="00FB3A1D" w:rsidP="00FB3A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 xml:space="preserve">για </w:t>
      </w:r>
      <w:r w:rsidRPr="00D23E8C">
        <w:t xml:space="preserve">διατιθέμενο Π/Υ = 10.000.000 € </w:t>
      </w:r>
    </w:p>
    <w:p w:rsidR="00FB3A1D" w:rsidRDefault="00FB3A1D" w:rsidP="00FB3A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 xml:space="preserve">η </w:t>
      </w:r>
      <w:r>
        <w:rPr>
          <w:rFonts w:cs="Calibri"/>
        </w:rPr>
        <w:t>μ</w:t>
      </w:r>
      <w:r w:rsidRPr="00D23E8C">
        <w:t xml:space="preserve">είωση της ετήσιας κατανάλωσης πρωτογενούς ενέργειας </w:t>
      </w:r>
      <w:r w:rsidR="007D7C44">
        <w:t>κ</w:t>
      </w:r>
      <w:r w:rsidRPr="00D23E8C">
        <w:t xml:space="preserve">ατοικιών </w:t>
      </w:r>
      <w:r>
        <w:t xml:space="preserve">είναι </w:t>
      </w:r>
      <w:r w:rsidRPr="00D23E8C">
        <w:t xml:space="preserve">5.600.000 </w:t>
      </w:r>
      <w:r w:rsidRPr="00D23E8C">
        <w:rPr>
          <w:rFonts w:cs="Calibri"/>
          <w:lang w:val="en-US"/>
        </w:rPr>
        <w:t>kWh</w:t>
      </w:r>
      <w:r w:rsidRPr="00D23E8C">
        <w:rPr>
          <w:rFonts w:cs="Calibri"/>
        </w:rPr>
        <w:t>/έτος</w:t>
      </w:r>
    </w:p>
    <w:p w:rsidR="00FB3A1D" w:rsidRDefault="00FB3A1D" w:rsidP="00FB3A1D"/>
    <w:p w:rsidR="00FB3A1D" w:rsidRPr="00204A98" w:rsidRDefault="00FB3A1D" w:rsidP="00FB3A1D">
      <w:r>
        <w:t xml:space="preserve">Για τον υπολογισμό του Δείκτη Εκροής </w:t>
      </w:r>
      <w:r w:rsidRPr="002C7DE4">
        <w:rPr>
          <w:b/>
          <w:lang w:val="en-US"/>
        </w:rPr>
        <w:t>CO</w:t>
      </w:r>
      <w:r w:rsidRPr="002C7DE4">
        <w:rPr>
          <w:b/>
        </w:rPr>
        <w:t>34</w:t>
      </w:r>
      <w:r w:rsidRPr="00951435">
        <w:t xml:space="preserve"> </w:t>
      </w:r>
      <w:r>
        <w:t>«</w:t>
      </w:r>
      <w:r w:rsidRPr="003B6C36">
        <w:t>Εκτιμώμενη ετήσια μείωση των εκπομπών των αερίων θερμοκηπίου</w:t>
      </w:r>
      <w:r>
        <w:t xml:space="preserve">», </w:t>
      </w:r>
      <w:r w:rsidRPr="00D23E8C">
        <w:t>χρησιμοποιούνται</w:t>
      </w:r>
      <w:r w:rsidRPr="00204A98">
        <w:t>:</w:t>
      </w:r>
    </w:p>
    <w:p w:rsidR="00FB3A1D" w:rsidRPr="00D23E8C" w:rsidRDefault="00FB3A1D" w:rsidP="00FB3A1D">
      <w:pPr>
        <w:ind w:left="709" w:hanging="709"/>
      </w:pPr>
      <w:r w:rsidRPr="00D23E8C">
        <w:rPr>
          <w:lang w:val="en-US"/>
        </w:rPr>
        <w:t>I</w:t>
      </w:r>
      <w:r w:rsidRPr="00D23E8C">
        <w:t>.</w:t>
      </w:r>
      <w:r w:rsidRPr="00D23E8C">
        <w:tab/>
        <w:t xml:space="preserve">Οι συντελεστές εκπομπής </w:t>
      </w:r>
      <w:r w:rsidRPr="00D23E8C">
        <w:rPr>
          <w:lang w:val="en-US"/>
        </w:rPr>
        <w:t>CO</w:t>
      </w:r>
      <w:r w:rsidRPr="00D23E8C">
        <w:rPr>
          <w:vertAlign w:val="subscript"/>
        </w:rPr>
        <w:t>2</w:t>
      </w:r>
      <w:r w:rsidRPr="00D23E8C">
        <w:t xml:space="preserve"> για την περίπτωση της ηλεκτρικής ενέργειας και του πετρελαίου θέρμανσης</w:t>
      </w:r>
      <w:bookmarkStart w:id="2" w:name="_Ref513025396"/>
      <w:r w:rsidRPr="00D23E8C">
        <w:rPr>
          <w:rStyle w:val="a8"/>
          <w:rFonts w:cs="Calibri"/>
        </w:rPr>
        <w:footnoteReference w:id="1"/>
      </w:r>
      <w:bookmarkEnd w:id="2"/>
      <w:r w:rsidRPr="00D23E8C">
        <w:rPr>
          <w:rFonts w:cs="Calibri"/>
        </w:rPr>
        <w:t>,</w:t>
      </w:r>
      <w:r w:rsidRPr="00D23E8C">
        <w:t xml:space="preserve"> οι οποίοι ανέρχονται σε 0,606 </w:t>
      </w:r>
      <w:proofErr w:type="spellStart"/>
      <w:proofErr w:type="gramStart"/>
      <w:r w:rsidRPr="00D23E8C">
        <w:rPr>
          <w:lang w:val="en-US"/>
        </w:rPr>
        <w:t>tn</w:t>
      </w:r>
      <w:proofErr w:type="spellEnd"/>
      <w:proofErr w:type="gramEnd"/>
      <w:r w:rsidRPr="00D23E8C">
        <w:t xml:space="preserve"> </w:t>
      </w:r>
      <w:r w:rsidRPr="00D23E8C">
        <w:rPr>
          <w:lang w:val="en-US"/>
        </w:rPr>
        <w:t>CO</w:t>
      </w:r>
      <w:r w:rsidRPr="00D23E8C">
        <w:rPr>
          <w:vertAlign w:val="subscript"/>
        </w:rPr>
        <w:t>2</w:t>
      </w:r>
      <w:r w:rsidRPr="00D23E8C">
        <w:t>/</w:t>
      </w:r>
      <w:r w:rsidRPr="00D23E8C">
        <w:rPr>
          <w:lang w:val="en-US"/>
        </w:rPr>
        <w:t>MWh</w:t>
      </w:r>
      <w:r w:rsidRPr="00D23E8C">
        <w:t xml:space="preserve"> και 0,264 </w:t>
      </w:r>
      <w:proofErr w:type="spellStart"/>
      <w:r w:rsidRPr="00D23E8C">
        <w:rPr>
          <w:lang w:val="en-US"/>
        </w:rPr>
        <w:t>tn</w:t>
      </w:r>
      <w:proofErr w:type="spellEnd"/>
      <w:r w:rsidRPr="00D23E8C">
        <w:t xml:space="preserve"> </w:t>
      </w:r>
      <w:r w:rsidRPr="00D23E8C">
        <w:rPr>
          <w:lang w:val="en-US"/>
        </w:rPr>
        <w:t>CO</w:t>
      </w:r>
      <w:r w:rsidRPr="00D23E8C">
        <w:rPr>
          <w:vertAlign w:val="subscript"/>
        </w:rPr>
        <w:t>2</w:t>
      </w:r>
      <w:r w:rsidRPr="00D23E8C">
        <w:t>/</w:t>
      </w:r>
      <w:r w:rsidRPr="00D23E8C">
        <w:rPr>
          <w:lang w:val="en-US"/>
        </w:rPr>
        <w:t>MWh</w:t>
      </w:r>
      <w:r w:rsidRPr="00D23E8C">
        <w:t xml:space="preserve"> αντίστοιχα.</w:t>
      </w:r>
    </w:p>
    <w:p w:rsidR="00FB3A1D" w:rsidRPr="00D23E8C" w:rsidRDefault="00FB3A1D" w:rsidP="00FB3A1D">
      <w:pPr>
        <w:ind w:left="709" w:hanging="709"/>
      </w:pPr>
      <w:r w:rsidRPr="00D23E8C">
        <w:rPr>
          <w:lang w:val="en-US"/>
        </w:rPr>
        <w:t>II</w:t>
      </w:r>
      <w:r w:rsidRPr="00D23E8C">
        <w:t>.</w:t>
      </w:r>
      <w:r w:rsidRPr="00D23E8C">
        <w:tab/>
        <w:t>Οι συντελεστές μετατροπής της τελικής ενέργειας σε πρωτογενή ενέργεια για την περίπτωση της ηλεκτρικής ενέργειας και του πετρελαίου θέρμανσης</w:t>
      </w:r>
      <w:r w:rsidRPr="00D23E8C">
        <w:rPr>
          <w:rFonts w:cs="Calibri"/>
        </w:rPr>
        <w:fldChar w:fldCharType="begin"/>
      </w:r>
      <w:r w:rsidRPr="00D23E8C">
        <w:rPr>
          <w:rFonts w:cs="Calibri"/>
        </w:rPr>
        <w:instrText xml:space="preserve"> NOTEREF _Ref513025396 \f \h  \* MERGEFORMAT </w:instrText>
      </w:r>
      <w:r w:rsidRPr="00D23E8C">
        <w:rPr>
          <w:rFonts w:cs="Calibri"/>
        </w:rPr>
      </w:r>
      <w:r w:rsidRPr="00D23E8C">
        <w:rPr>
          <w:rFonts w:cs="Calibri"/>
        </w:rPr>
        <w:fldChar w:fldCharType="separate"/>
      </w:r>
      <w:r w:rsidRPr="00D23E8C">
        <w:rPr>
          <w:rStyle w:val="a8"/>
        </w:rPr>
        <w:t>1</w:t>
      </w:r>
      <w:r w:rsidRPr="00D23E8C">
        <w:rPr>
          <w:rFonts w:cs="Calibri"/>
        </w:rPr>
        <w:fldChar w:fldCharType="end"/>
      </w:r>
      <w:r w:rsidRPr="00D23E8C">
        <w:rPr>
          <w:rFonts w:cs="Calibri"/>
        </w:rPr>
        <w:t>,</w:t>
      </w:r>
      <w:r w:rsidRPr="00D23E8C">
        <w:t xml:space="preserve"> οι οποίοι ανέρχονται σε 2,170 και 1,100 αντίστοιχα.</w:t>
      </w:r>
    </w:p>
    <w:p w:rsidR="00FB3A1D" w:rsidRPr="00D23E8C" w:rsidRDefault="00FB3A1D" w:rsidP="00FB3A1D">
      <w:pPr>
        <w:ind w:left="709" w:hanging="709"/>
      </w:pPr>
      <w:r w:rsidRPr="00D23E8C">
        <w:rPr>
          <w:lang w:val="en-US"/>
        </w:rPr>
        <w:lastRenderedPageBreak/>
        <w:t>III</w:t>
      </w:r>
      <w:r w:rsidRPr="00D23E8C">
        <w:t>.</w:t>
      </w:r>
      <w:r w:rsidRPr="00D23E8C">
        <w:tab/>
        <w:t xml:space="preserve">Η παραδοχή ότι </w:t>
      </w:r>
      <w:r w:rsidRPr="00D23E8C">
        <w:rPr>
          <w:rFonts w:cs="Calibri"/>
        </w:rPr>
        <w:t xml:space="preserve">η πλειοψηφία των παρεμβάσεων </w:t>
      </w:r>
      <w:r w:rsidR="007D7C44">
        <w:rPr>
          <w:rFonts w:cs="Calibri"/>
        </w:rPr>
        <w:t>στις κ</w:t>
      </w:r>
      <w:r w:rsidRPr="00D23E8C">
        <w:rPr>
          <w:rFonts w:cs="Calibri"/>
        </w:rPr>
        <w:t>ατοικίες, αφορούν μέτρα για την μείωση του θερμικού φορτίου, και αποδίδεται σε ποσοστό 80% στη θερμική ενέργεια (πετρέλαιο θέρμανσης) και σε ποσοστό 20% στην ηλεκτρική ενέργεια, στο σύνολο της εξοικονομούμενης πρωτογενούς ενέργειας.</w:t>
      </w:r>
    </w:p>
    <w:p w:rsidR="00FB3A1D" w:rsidRPr="00D23E8C" w:rsidRDefault="00FB3A1D" w:rsidP="00FB3A1D">
      <w:pPr>
        <w:rPr>
          <w:rFonts w:cs="Calibri"/>
        </w:rPr>
      </w:pPr>
    </w:p>
    <w:p w:rsidR="00FB3A1D" w:rsidRDefault="00FB3A1D" w:rsidP="00FB3A1D">
      <w:r w:rsidRPr="00D23E8C">
        <w:t xml:space="preserve">Δεδομένου ότι η </w:t>
      </w:r>
      <w:r>
        <w:t>μ</w:t>
      </w:r>
      <w:r w:rsidRPr="00D23E8C">
        <w:t xml:space="preserve">είωση της ετήσιας κατανάλωσης πρωτογενούς ενέργειας </w:t>
      </w:r>
      <w:r w:rsidR="007D7C44">
        <w:t>κ</w:t>
      </w:r>
      <w:r w:rsidRPr="00D23E8C">
        <w:t xml:space="preserve">ατοικιών ισούται με 5.600.000 </w:t>
      </w:r>
      <w:r w:rsidRPr="00D23E8C">
        <w:rPr>
          <w:rFonts w:cs="Calibri"/>
          <w:lang w:val="en-US"/>
        </w:rPr>
        <w:t>kWh</w:t>
      </w:r>
      <w:r w:rsidRPr="00D23E8C">
        <w:rPr>
          <w:rFonts w:cs="Calibri"/>
        </w:rPr>
        <w:t>/έτος</w:t>
      </w:r>
      <w:r>
        <w:rPr>
          <w:rFonts w:cs="Calibri"/>
        </w:rPr>
        <w:t xml:space="preserve"> (βλέπε πράξη [2])</w:t>
      </w:r>
      <w:r w:rsidRPr="00D23E8C">
        <w:rPr>
          <w:rFonts w:cs="Calibri"/>
        </w:rPr>
        <w:t xml:space="preserve">, η τιμή του </w:t>
      </w:r>
      <w:r w:rsidRPr="00D23E8C">
        <w:t xml:space="preserve">Δείκτη Εκροής </w:t>
      </w:r>
      <w:r>
        <w:rPr>
          <w:lang w:val="en-US"/>
        </w:rPr>
        <w:t>CO</w:t>
      </w:r>
      <w:r w:rsidRPr="00951435">
        <w:t xml:space="preserve">34 </w:t>
      </w:r>
      <w:r w:rsidRPr="00D23E8C">
        <w:t>«Εκτιμώμενη ετήσια μείωση των εκπομπών των αερίων θερμοκηπίου» ισούται με:</w:t>
      </w:r>
    </w:p>
    <w:p w:rsidR="00FB3A1D" w:rsidRPr="00D23E8C" w:rsidRDefault="00FB3A1D" w:rsidP="00FB3A1D"/>
    <w:p w:rsidR="00FB3A1D" w:rsidRPr="002C7DE4" w:rsidRDefault="00FB3A1D" w:rsidP="00FB3A1D">
      <w:pPr>
        <w:jc w:val="center"/>
        <w:rPr>
          <w:rFonts w:cs="Calibri"/>
          <w:b/>
          <w:lang w:val="en-US"/>
        </w:rPr>
      </w:pPr>
      <w:r w:rsidRPr="002C7DE4">
        <w:rPr>
          <w:b/>
          <w:lang w:val="en-US"/>
        </w:rPr>
        <w:t xml:space="preserve">(5.600.000 </w:t>
      </w:r>
      <w:r w:rsidRPr="002C7DE4">
        <w:rPr>
          <w:rFonts w:cs="Calibri"/>
          <w:b/>
          <w:lang w:val="en-US"/>
        </w:rPr>
        <w:t>kWh/</w:t>
      </w:r>
      <w:r w:rsidRPr="002C7DE4">
        <w:rPr>
          <w:rFonts w:cs="Calibri"/>
          <w:b/>
        </w:rPr>
        <w:t>έτος</w:t>
      </w:r>
      <w:r w:rsidRPr="002C7DE4">
        <w:rPr>
          <w:rFonts w:cs="Calibri"/>
          <w:b/>
          <w:lang w:val="en-US"/>
        </w:rPr>
        <w:t xml:space="preserve">/1000) x 80%/1,100 x 0,264 </w:t>
      </w:r>
      <w:proofErr w:type="spellStart"/>
      <w:proofErr w:type="gramStart"/>
      <w:r w:rsidRPr="002C7DE4">
        <w:rPr>
          <w:b/>
          <w:lang w:val="en-US"/>
        </w:rPr>
        <w:t>tn</w:t>
      </w:r>
      <w:proofErr w:type="spellEnd"/>
      <w:proofErr w:type="gramEnd"/>
      <w:r w:rsidRPr="002C7DE4">
        <w:rPr>
          <w:b/>
          <w:lang w:val="en-US"/>
        </w:rPr>
        <w:t xml:space="preserve"> CO</w:t>
      </w:r>
      <w:r w:rsidRPr="002C7DE4">
        <w:rPr>
          <w:b/>
          <w:vertAlign w:val="subscript"/>
          <w:lang w:val="en-US"/>
        </w:rPr>
        <w:t>2</w:t>
      </w:r>
      <w:r w:rsidRPr="002C7DE4">
        <w:rPr>
          <w:b/>
          <w:lang w:val="en-US"/>
        </w:rPr>
        <w:t xml:space="preserve">/MWh + (4.000.000 </w:t>
      </w:r>
      <w:r w:rsidRPr="002C7DE4">
        <w:rPr>
          <w:rFonts w:cs="Calibri"/>
          <w:b/>
          <w:lang w:val="en-US"/>
        </w:rPr>
        <w:t>kWh/</w:t>
      </w:r>
      <w:r w:rsidRPr="002C7DE4">
        <w:rPr>
          <w:rFonts w:cs="Calibri"/>
          <w:b/>
        </w:rPr>
        <w:t>έτος</w:t>
      </w:r>
      <w:r w:rsidRPr="002C7DE4">
        <w:rPr>
          <w:rFonts w:cs="Calibri"/>
          <w:b/>
          <w:lang w:val="en-US"/>
        </w:rPr>
        <w:t xml:space="preserve">/1000) x 20%/2,170 x 0,606 </w:t>
      </w:r>
      <w:proofErr w:type="spellStart"/>
      <w:r w:rsidRPr="002C7DE4">
        <w:rPr>
          <w:b/>
          <w:lang w:val="en-US"/>
        </w:rPr>
        <w:t>tn</w:t>
      </w:r>
      <w:proofErr w:type="spellEnd"/>
      <w:r w:rsidRPr="002C7DE4">
        <w:rPr>
          <w:b/>
          <w:lang w:val="en-US"/>
        </w:rPr>
        <w:t xml:space="preserve"> CO</w:t>
      </w:r>
      <w:r w:rsidRPr="002C7DE4">
        <w:rPr>
          <w:b/>
          <w:vertAlign w:val="subscript"/>
          <w:lang w:val="en-US"/>
        </w:rPr>
        <w:t>2</w:t>
      </w:r>
      <w:r w:rsidRPr="002C7DE4">
        <w:rPr>
          <w:b/>
          <w:lang w:val="en-US"/>
        </w:rPr>
        <w:t xml:space="preserve">/MWh = 1.388 </w:t>
      </w:r>
      <w:proofErr w:type="spellStart"/>
      <w:r w:rsidRPr="002C7DE4">
        <w:rPr>
          <w:b/>
          <w:lang w:val="en-US"/>
        </w:rPr>
        <w:t>tn</w:t>
      </w:r>
      <w:proofErr w:type="spellEnd"/>
      <w:r w:rsidRPr="002C7DE4">
        <w:rPr>
          <w:b/>
          <w:lang w:val="en-US"/>
        </w:rPr>
        <w:t xml:space="preserve"> CO</w:t>
      </w:r>
      <w:r w:rsidRPr="002C7DE4">
        <w:rPr>
          <w:b/>
          <w:vertAlign w:val="subscript"/>
          <w:lang w:val="en-US"/>
        </w:rPr>
        <w:t>2</w:t>
      </w:r>
    </w:p>
    <w:p w:rsidR="00FB3A1D" w:rsidRPr="00FB3A1D" w:rsidRDefault="00FB3A1D" w:rsidP="00FB3A1D">
      <w:pPr>
        <w:rPr>
          <w:lang w:val="en-US"/>
        </w:rPr>
      </w:pPr>
    </w:p>
    <w:p w:rsidR="00FB3A1D" w:rsidRDefault="00FB3A1D" w:rsidP="00FB3A1D">
      <w:r>
        <w:t>Επομένως:</w:t>
      </w:r>
      <w:r w:rsidRPr="00D23E8C">
        <w:t xml:space="preserve"> </w:t>
      </w:r>
    </w:p>
    <w:p w:rsidR="00FB3A1D" w:rsidRDefault="00FB3A1D" w:rsidP="00FB3A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 xml:space="preserve">για </w:t>
      </w:r>
      <w:r w:rsidRPr="00D23E8C">
        <w:t xml:space="preserve">διατιθέμενο Π/Υ = 10.000.000 € </w:t>
      </w:r>
    </w:p>
    <w:p w:rsidR="00FB3A1D" w:rsidRDefault="00FB3A1D" w:rsidP="00FB3A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>η ε</w:t>
      </w:r>
      <w:r w:rsidRPr="00D23E8C">
        <w:t>κτιμώμενη ετήσια μείωση των εκπομπών των αερίων θερμοκηπίου</w:t>
      </w:r>
      <w:r>
        <w:t xml:space="preserve"> είναι </w:t>
      </w:r>
      <w:r w:rsidRPr="00D23E8C">
        <w:t xml:space="preserve">1.388 </w:t>
      </w:r>
      <w:proofErr w:type="spellStart"/>
      <w:r w:rsidRPr="00D23E8C">
        <w:rPr>
          <w:lang w:val="en-US"/>
        </w:rPr>
        <w:t>tn</w:t>
      </w:r>
      <w:proofErr w:type="spellEnd"/>
      <w:r w:rsidRPr="00D23E8C">
        <w:t xml:space="preserve"> </w:t>
      </w:r>
      <w:r w:rsidRPr="00D23E8C">
        <w:rPr>
          <w:lang w:val="en-US"/>
        </w:rPr>
        <w:t>CO</w:t>
      </w:r>
      <w:r w:rsidRPr="00D23E8C">
        <w:rPr>
          <w:vertAlign w:val="subscript"/>
        </w:rPr>
        <w:t>2</w:t>
      </w:r>
      <w:r w:rsidRPr="00D23E8C">
        <w:t>/</w:t>
      </w:r>
      <w:r w:rsidRPr="00D23E8C">
        <w:rPr>
          <w:rFonts w:cs="Calibri"/>
        </w:rPr>
        <w:t>έτος</w:t>
      </w:r>
    </w:p>
    <w:p w:rsidR="00FB3A1D" w:rsidRDefault="00FB3A1D" w:rsidP="00FB3A1D"/>
    <w:p w:rsidR="00FB3A1D" w:rsidRDefault="00FB3A1D" w:rsidP="00FB3A1D"/>
    <w:p w:rsidR="00AD5932" w:rsidRDefault="00AD5932" w:rsidP="00FB3A1D">
      <w:pPr>
        <w:jc w:val="center"/>
        <w:rPr>
          <w:b/>
        </w:rPr>
      </w:pPr>
    </w:p>
    <w:sectPr w:rsidR="00AD5932" w:rsidSect="0051329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991" w:bottom="993" w:left="1134" w:header="708" w:footer="2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4D1" w:rsidRDefault="006754D1" w:rsidP="00204A98">
      <w:pPr>
        <w:spacing w:line="240" w:lineRule="auto"/>
      </w:pPr>
      <w:r>
        <w:separator/>
      </w:r>
    </w:p>
  </w:endnote>
  <w:endnote w:type="continuationSeparator" w:id="0">
    <w:p w:rsidR="006754D1" w:rsidRDefault="006754D1" w:rsidP="00204A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yriadPro-Regular">
    <w:altName w:val="Calibri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ACA" w:rsidRDefault="00F72ACA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9653731"/>
      <w:docPartObj>
        <w:docPartGallery w:val="Page Numbers (Bottom of Page)"/>
        <w:docPartUnique/>
      </w:docPartObj>
    </w:sdtPr>
    <w:sdtEndPr/>
    <w:sdtContent>
      <w:p w:rsidR="00F25EC3" w:rsidRDefault="00F25EC3">
        <w:pPr>
          <w:pStyle w:val="ad"/>
          <w:jc w:val="center"/>
        </w:pPr>
        <w:r>
          <w:t>[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7D7C44">
          <w:rPr>
            <w:noProof/>
          </w:rPr>
          <w:t>1</w:t>
        </w:r>
        <w:r>
          <w:fldChar w:fldCharType="end"/>
        </w:r>
        <w:r>
          <w:t>]</w:t>
        </w:r>
      </w:p>
    </w:sdtContent>
  </w:sdt>
  <w:p w:rsidR="00447D45" w:rsidRDefault="00447D45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ACA" w:rsidRDefault="00F72ACA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4D1" w:rsidRDefault="006754D1" w:rsidP="00204A98">
      <w:pPr>
        <w:spacing w:line="240" w:lineRule="auto"/>
      </w:pPr>
      <w:r>
        <w:separator/>
      </w:r>
    </w:p>
  </w:footnote>
  <w:footnote w:type="continuationSeparator" w:id="0">
    <w:p w:rsidR="006754D1" w:rsidRDefault="006754D1" w:rsidP="00204A98">
      <w:pPr>
        <w:spacing w:line="240" w:lineRule="auto"/>
      </w:pPr>
      <w:r>
        <w:continuationSeparator/>
      </w:r>
    </w:p>
  </w:footnote>
  <w:footnote w:id="1">
    <w:p w:rsidR="00FB3A1D" w:rsidRPr="00F25EC3" w:rsidRDefault="00FB3A1D" w:rsidP="00FB3A1D">
      <w:pPr>
        <w:pStyle w:val="a7"/>
      </w:pPr>
      <w:r>
        <w:rPr>
          <w:rStyle w:val="a8"/>
        </w:rPr>
        <w:footnoteRef/>
      </w:r>
      <w:r>
        <w:t xml:space="preserve"> Υ.Α. </w:t>
      </w:r>
      <w:r w:rsidRPr="00995515">
        <w:rPr>
          <w:rFonts w:ascii="MyriadPro-Regular" w:hAnsi="MyriadPro-Regular" w:cs="MyriadPro-Regular"/>
        </w:rPr>
        <w:t>ΔΕΠΕΑ/οικ.178581</w:t>
      </w:r>
      <w:r>
        <w:rPr>
          <w:rFonts w:ascii="MyriadPro-Regular" w:hAnsi="MyriadPro-Regular" w:cs="MyriadPro-Regular"/>
        </w:rPr>
        <w:t>/30</w:t>
      </w:r>
      <w:r w:rsidRPr="00F25EC3">
        <w:rPr>
          <w:rFonts w:cs="MyriadPro-Regular"/>
        </w:rPr>
        <w:t>–</w:t>
      </w:r>
      <w:r>
        <w:rPr>
          <w:rFonts w:ascii="MyriadPro-Regular" w:hAnsi="MyriadPro-Regular" w:cs="MyriadPro-Regular"/>
        </w:rPr>
        <w:t>06</w:t>
      </w:r>
      <w:r w:rsidRPr="00F25EC3">
        <w:rPr>
          <w:rFonts w:cs="MyriadPro-Regular"/>
        </w:rPr>
        <w:t>–</w:t>
      </w:r>
      <w:r>
        <w:rPr>
          <w:rFonts w:ascii="MyriadPro-Regular" w:hAnsi="MyriadPro-Regular" w:cs="MyriadPro-Regular"/>
        </w:rPr>
        <w:t xml:space="preserve">17, </w:t>
      </w:r>
      <w:r w:rsidRPr="00995515">
        <w:rPr>
          <w:rFonts w:ascii="MyriadPro-Regular" w:hAnsi="MyriadPro-Regular" w:cs="MyriadPro-Regular"/>
        </w:rPr>
        <w:t>Έγκριση Κανονισμού Ενεργειακής Απόδοσης Κτιρίων</w:t>
      </w:r>
      <w:r>
        <w:rPr>
          <w:rFonts w:ascii="MyriadPro-Regular" w:hAnsi="MyriadPro-Regular" w:cs="MyriadPro-Regular"/>
        </w:rPr>
        <w:t xml:space="preserve"> (ΦΕΚ 2367/Β’/ 12</w:t>
      </w:r>
      <w:r w:rsidRPr="00F25EC3">
        <w:rPr>
          <w:rFonts w:cs="MyriadPro-Regular"/>
        </w:rPr>
        <w:t>–</w:t>
      </w:r>
      <w:r>
        <w:rPr>
          <w:rFonts w:ascii="MyriadPro-Regular" w:hAnsi="MyriadPro-Regular" w:cs="MyriadPro-Regular"/>
        </w:rPr>
        <w:t>07</w:t>
      </w:r>
      <w:r w:rsidRPr="00F25EC3">
        <w:rPr>
          <w:rFonts w:cs="MyriadPro-Regular"/>
        </w:rPr>
        <w:t>–</w:t>
      </w:r>
      <w:r>
        <w:rPr>
          <w:rFonts w:ascii="MyriadPro-Regular" w:hAnsi="MyriadPro-Regular" w:cs="MyriadPro-Regular"/>
        </w:rPr>
        <w:t>17).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ACA" w:rsidRDefault="00F72ACA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ACA" w:rsidRDefault="00F72ACA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ACA" w:rsidRDefault="00F72ACA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23EC2"/>
    <w:multiLevelType w:val="hybridMultilevel"/>
    <w:tmpl w:val="C2D867EA"/>
    <w:lvl w:ilvl="0" w:tplc="0C8A464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134DA0"/>
    <w:multiLevelType w:val="hybridMultilevel"/>
    <w:tmpl w:val="1D5249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AE4823"/>
    <w:multiLevelType w:val="hybridMultilevel"/>
    <w:tmpl w:val="3CDAFFE2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7E7AC6"/>
    <w:multiLevelType w:val="hybridMultilevel"/>
    <w:tmpl w:val="C082C01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8A1014"/>
    <w:multiLevelType w:val="hybridMultilevel"/>
    <w:tmpl w:val="1354B96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4B391D"/>
    <w:multiLevelType w:val="hybridMultilevel"/>
    <w:tmpl w:val="5D3AE484"/>
    <w:lvl w:ilvl="0" w:tplc="1BF04A7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7Q0Nbc0Mzc0NDI1srRU0lEKTi0uzszPAykwrAUAC+bjRiwAAAA="/>
  </w:docVars>
  <w:rsids>
    <w:rsidRoot w:val="00061E17"/>
    <w:rsid w:val="000311CB"/>
    <w:rsid w:val="00040408"/>
    <w:rsid w:val="000414AE"/>
    <w:rsid w:val="00052FF5"/>
    <w:rsid w:val="00061E17"/>
    <w:rsid w:val="00063F52"/>
    <w:rsid w:val="000C1EDD"/>
    <w:rsid w:val="00106FD3"/>
    <w:rsid w:val="00143D5F"/>
    <w:rsid w:val="00192698"/>
    <w:rsid w:val="00204A98"/>
    <w:rsid w:val="0021441A"/>
    <w:rsid w:val="00216239"/>
    <w:rsid w:val="002173F4"/>
    <w:rsid w:val="002326AF"/>
    <w:rsid w:val="00286C7A"/>
    <w:rsid w:val="002C25D1"/>
    <w:rsid w:val="002C6EDF"/>
    <w:rsid w:val="002D043C"/>
    <w:rsid w:val="002E5E01"/>
    <w:rsid w:val="002F7F6B"/>
    <w:rsid w:val="00314055"/>
    <w:rsid w:val="00322FF1"/>
    <w:rsid w:val="00335518"/>
    <w:rsid w:val="00350318"/>
    <w:rsid w:val="0036184C"/>
    <w:rsid w:val="003700D8"/>
    <w:rsid w:val="0037489C"/>
    <w:rsid w:val="00383685"/>
    <w:rsid w:val="003A2714"/>
    <w:rsid w:val="003F1FA6"/>
    <w:rsid w:val="003F6A2B"/>
    <w:rsid w:val="00421128"/>
    <w:rsid w:val="00447D45"/>
    <w:rsid w:val="00467550"/>
    <w:rsid w:val="004A1DB9"/>
    <w:rsid w:val="004D0838"/>
    <w:rsid w:val="0051329D"/>
    <w:rsid w:val="00545E9B"/>
    <w:rsid w:val="00560A9D"/>
    <w:rsid w:val="005662BA"/>
    <w:rsid w:val="00583F5F"/>
    <w:rsid w:val="0058489C"/>
    <w:rsid w:val="005E51F4"/>
    <w:rsid w:val="005F1966"/>
    <w:rsid w:val="00604330"/>
    <w:rsid w:val="006213AE"/>
    <w:rsid w:val="0064011F"/>
    <w:rsid w:val="006754D1"/>
    <w:rsid w:val="006B6FEE"/>
    <w:rsid w:val="006C27BC"/>
    <w:rsid w:val="00735C59"/>
    <w:rsid w:val="00740EB6"/>
    <w:rsid w:val="007433A6"/>
    <w:rsid w:val="007830CD"/>
    <w:rsid w:val="007A0974"/>
    <w:rsid w:val="007D7C44"/>
    <w:rsid w:val="007E470F"/>
    <w:rsid w:val="00810091"/>
    <w:rsid w:val="0082570C"/>
    <w:rsid w:val="00831514"/>
    <w:rsid w:val="008664BF"/>
    <w:rsid w:val="00885997"/>
    <w:rsid w:val="00892B47"/>
    <w:rsid w:val="00896E8C"/>
    <w:rsid w:val="008C67CE"/>
    <w:rsid w:val="008E513C"/>
    <w:rsid w:val="00910769"/>
    <w:rsid w:val="00926FBB"/>
    <w:rsid w:val="00951435"/>
    <w:rsid w:val="00951606"/>
    <w:rsid w:val="00967981"/>
    <w:rsid w:val="009A337C"/>
    <w:rsid w:val="009A3FE2"/>
    <w:rsid w:val="009A49D9"/>
    <w:rsid w:val="009B120B"/>
    <w:rsid w:val="009B4C18"/>
    <w:rsid w:val="009B4F5A"/>
    <w:rsid w:val="009E57B9"/>
    <w:rsid w:val="009F4D41"/>
    <w:rsid w:val="00A21445"/>
    <w:rsid w:val="00A257D4"/>
    <w:rsid w:val="00A4388D"/>
    <w:rsid w:val="00A60576"/>
    <w:rsid w:val="00A77A77"/>
    <w:rsid w:val="00A84CA7"/>
    <w:rsid w:val="00A87251"/>
    <w:rsid w:val="00A91734"/>
    <w:rsid w:val="00AB7D11"/>
    <w:rsid w:val="00AD2978"/>
    <w:rsid w:val="00AD5932"/>
    <w:rsid w:val="00B1364C"/>
    <w:rsid w:val="00B235FB"/>
    <w:rsid w:val="00B4169B"/>
    <w:rsid w:val="00B874EB"/>
    <w:rsid w:val="00BC1209"/>
    <w:rsid w:val="00BE3CCE"/>
    <w:rsid w:val="00C01700"/>
    <w:rsid w:val="00C17361"/>
    <w:rsid w:val="00C341ED"/>
    <w:rsid w:val="00C541AA"/>
    <w:rsid w:val="00C93566"/>
    <w:rsid w:val="00CA2F34"/>
    <w:rsid w:val="00CB0322"/>
    <w:rsid w:val="00CB593E"/>
    <w:rsid w:val="00CF3382"/>
    <w:rsid w:val="00D04E80"/>
    <w:rsid w:val="00D23E8C"/>
    <w:rsid w:val="00D56A9F"/>
    <w:rsid w:val="00D660D9"/>
    <w:rsid w:val="00DA201E"/>
    <w:rsid w:val="00DB23A8"/>
    <w:rsid w:val="00DB789C"/>
    <w:rsid w:val="00DC69B5"/>
    <w:rsid w:val="00DE2B3E"/>
    <w:rsid w:val="00DE3779"/>
    <w:rsid w:val="00DF178F"/>
    <w:rsid w:val="00E2611F"/>
    <w:rsid w:val="00E432FD"/>
    <w:rsid w:val="00E4411A"/>
    <w:rsid w:val="00E577C0"/>
    <w:rsid w:val="00E8480F"/>
    <w:rsid w:val="00E95C8C"/>
    <w:rsid w:val="00EB5692"/>
    <w:rsid w:val="00EB6E74"/>
    <w:rsid w:val="00EC2125"/>
    <w:rsid w:val="00EF3871"/>
    <w:rsid w:val="00F02F6A"/>
    <w:rsid w:val="00F157BC"/>
    <w:rsid w:val="00F25EC3"/>
    <w:rsid w:val="00F26718"/>
    <w:rsid w:val="00F46B05"/>
    <w:rsid w:val="00F504CA"/>
    <w:rsid w:val="00F71F27"/>
    <w:rsid w:val="00F72ACA"/>
    <w:rsid w:val="00F83AA2"/>
    <w:rsid w:val="00F85971"/>
    <w:rsid w:val="00FB3A1D"/>
    <w:rsid w:val="00FC3FF3"/>
    <w:rsid w:val="00FC6B5D"/>
    <w:rsid w:val="00FE3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29D"/>
    <w:pPr>
      <w:spacing w:after="0" w:line="36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1E17"/>
    <w:pPr>
      <w:ind w:left="720"/>
      <w:contextualSpacing/>
    </w:pPr>
  </w:style>
  <w:style w:type="table" w:styleId="a4">
    <w:name w:val="Table Grid"/>
    <w:basedOn w:val="a1"/>
    <w:uiPriority w:val="59"/>
    <w:rsid w:val="00F859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Βασικό1"/>
    <w:basedOn w:val="a0"/>
    <w:rsid w:val="00E8480F"/>
  </w:style>
  <w:style w:type="character" w:styleId="a5">
    <w:name w:val="Placeholder Text"/>
    <w:basedOn w:val="a0"/>
    <w:uiPriority w:val="99"/>
    <w:semiHidden/>
    <w:rsid w:val="00C01700"/>
    <w:rPr>
      <w:color w:val="808080"/>
    </w:rPr>
  </w:style>
  <w:style w:type="paragraph" w:styleId="a6">
    <w:name w:val="Balloon Text"/>
    <w:basedOn w:val="a"/>
    <w:link w:val="Char"/>
    <w:uiPriority w:val="99"/>
    <w:semiHidden/>
    <w:unhideWhenUsed/>
    <w:rsid w:val="000C1ED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6"/>
    <w:uiPriority w:val="99"/>
    <w:semiHidden/>
    <w:rsid w:val="000C1EDD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Char0"/>
    <w:uiPriority w:val="99"/>
    <w:semiHidden/>
    <w:unhideWhenUsed/>
    <w:rsid w:val="00204A98"/>
    <w:pPr>
      <w:spacing w:line="240" w:lineRule="auto"/>
    </w:pPr>
    <w:rPr>
      <w:sz w:val="20"/>
      <w:szCs w:val="20"/>
    </w:rPr>
  </w:style>
  <w:style w:type="character" w:customStyle="1" w:styleId="Char0">
    <w:name w:val="Κείμενο υποσημείωσης Char"/>
    <w:basedOn w:val="a0"/>
    <w:link w:val="a7"/>
    <w:uiPriority w:val="99"/>
    <w:semiHidden/>
    <w:rsid w:val="00204A98"/>
    <w:rPr>
      <w:sz w:val="20"/>
      <w:szCs w:val="20"/>
    </w:rPr>
  </w:style>
  <w:style w:type="character" w:styleId="a8">
    <w:name w:val="footnote reference"/>
    <w:basedOn w:val="a0"/>
    <w:uiPriority w:val="99"/>
    <w:unhideWhenUsed/>
    <w:rsid w:val="00204A98"/>
    <w:rPr>
      <w:vertAlign w:val="superscript"/>
    </w:rPr>
  </w:style>
  <w:style w:type="character" w:styleId="a9">
    <w:name w:val="annotation reference"/>
    <w:basedOn w:val="a0"/>
    <w:uiPriority w:val="99"/>
    <w:semiHidden/>
    <w:unhideWhenUsed/>
    <w:rsid w:val="00F83AA2"/>
    <w:rPr>
      <w:sz w:val="16"/>
      <w:szCs w:val="16"/>
    </w:rPr>
  </w:style>
  <w:style w:type="paragraph" w:styleId="aa">
    <w:name w:val="annotation text"/>
    <w:basedOn w:val="a"/>
    <w:link w:val="Char1"/>
    <w:uiPriority w:val="99"/>
    <w:semiHidden/>
    <w:unhideWhenUsed/>
    <w:rsid w:val="00F83AA2"/>
    <w:pPr>
      <w:spacing w:line="240" w:lineRule="auto"/>
    </w:pPr>
    <w:rPr>
      <w:sz w:val="20"/>
      <w:szCs w:val="20"/>
    </w:rPr>
  </w:style>
  <w:style w:type="character" w:customStyle="1" w:styleId="Char1">
    <w:name w:val="Κείμενο σχολίου Char"/>
    <w:basedOn w:val="a0"/>
    <w:link w:val="aa"/>
    <w:uiPriority w:val="99"/>
    <w:semiHidden/>
    <w:rsid w:val="00F83AA2"/>
    <w:rPr>
      <w:sz w:val="20"/>
      <w:szCs w:val="20"/>
    </w:rPr>
  </w:style>
  <w:style w:type="paragraph" w:styleId="ab">
    <w:name w:val="annotation subject"/>
    <w:basedOn w:val="aa"/>
    <w:next w:val="aa"/>
    <w:link w:val="Char2"/>
    <w:uiPriority w:val="99"/>
    <w:semiHidden/>
    <w:unhideWhenUsed/>
    <w:rsid w:val="00F83AA2"/>
    <w:rPr>
      <w:b/>
      <w:bCs/>
    </w:rPr>
  </w:style>
  <w:style w:type="character" w:customStyle="1" w:styleId="Char2">
    <w:name w:val="Θέμα σχολίου Char"/>
    <w:basedOn w:val="Char1"/>
    <w:link w:val="ab"/>
    <w:uiPriority w:val="99"/>
    <w:semiHidden/>
    <w:rsid w:val="00F83AA2"/>
    <w:rPr>
      <w:b/>
      <w:bCs/>
      <w:sz w:val="20"/>
      <w:szCs w:val="20"/>
    </w:rPr>
  </w:style>
  <w:style w:type="paragraph" w:styleId="ac">
    <w:name w:val="header"/>
    <w:basedOn w:val="a"/>
    <w:link w:val="Char3"/>
    <w:uiPriority w:val="99"/>
    <w:unhideWhenUsed/>
    <w:rsid w:val="00447D45"/>
    <w:pPr>
      <w:tabs>
        <w:tab w:val="center" w:pos="4153"/>
        <w:tab w:val="right" w:pos="8306"/>
      </w:tabs>
      <w:spacing w:line="240" w:lineRule="auto"/>
    </w:pPr>
  </w:style>
  <w:style w:type="character" w:customStyle="1" w:styleId="Char3">
    <w:name w:val="Κεφαλίδα Char"/>
    <w:basedOn w:val="a0"/>
    <w:link w:val="ac"/>
    <w:uiPriority w:val="99"/>
    <w:rsid w:val="00447D45"/>
  </w:style>
  <w:style w:type="paragraph" w:styleId="ad">
    <w:name w:val="footer"/>
    <w:basedOn w:val="a"/>
    <w:link w:val="Char4"/>
    <w:uiPriority w:val="99"/>
    <w:unhideWhenUsed/>
    <w:rsid w:val="00447D45"/>
    <w:pPr>
      <w:tabs>
        <w:tab w:val="center" w:pos="4153"/>
        <w:tab w:val="right" w:pos="8306"/>
      </w:tabs>
      <w:spacing w:line="240" w:lineRule="auto"/>
    </w:pPr>
  </w:style>
  <w:style w:type="character" w:customStyle="1" w:styleId="Char4">
    <w:name w:val="Υποσέλιδο Char"/>
    <w:basedOn w:val="a0"/>
    <w:link w:val="ad"/>
    <w:uiPriority w:val="99"/>
    <w:rsid w:val="00447D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29D"/>
    <w:pPr>
      <w:spacing w:after="0" w:line="36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1E17"/>
    <w:pPr>
      <w:ind w:left="720"/>
      <w:contextualSpacing/>
    </w:pPr>
  </w:style>
  <w:style w:type="table" w:styleId="a4">
    <w:name w:val="Table Grid"/>
    <w:basedOn w:val="a1"/>
    <w:uiPriority w:val="59"/>
    <w:rsid w:val="00F859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Βασικό1"/>
    <w:basedOn w:val="a0"/>
    <w:rsid w:val="00E8480F"/>
  </w:style>
  <w:style w:type="character" w:styleId="a5">
    <w:name w:val="Placeholder Text"/>
    <w:basedOn w:val="a0"/>
    <w:uiPriority w:val="99"/>
    <w:semiHidden/>
    <w:rsid w:val="00C01700"/>
    <w:rPr>
      <w:color w:val="808080"/>
    </w:rPr>
  </w:style>
  <w:style w:type="paragraph" w:styleId="a6">
    <w:name w:val="Balloon Text"/>
    <w:basedOn w:val="a"/>
    <w:link w:val="Char"/>
    <w:uiPriority w:val="99"/>
    <w:semiHidden/>
    <w:unhideWhenUsed/>
    <w:rsid w:val="000C1ED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6"/>
    <w:uiPriority w:val="99"/>
    <w:semiHidden/>
    <w:rsid w:val="000C1EDD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Char0"/>
    <w:uiPriority w:val="99"/>
    <w:semiHidden/>
    <w:unhideWhenUsed/>
    <w:rsid w:val="00204A98"/>
    <w:pPr>
      <w:spacing w:line="240" w:lineRule="auto"/>
    </w:pPr>
    <w:rPr>
      <w:sz w:val="20"/>
      <w:szCs w:val="20"/>
    </w:rPr>
  </w:style>
  <w:style w:type="character" w:customStyle="1" w:styleId="Char0">
    <w:name w:val="Κείμενο υποσημείωσης Char"/>
    <w:basedOn w:val="a0"/>
    <w:link w:val="a7"/>
    <w:uiPriority w:val="99"/>
    <w:semiHidden/>
    <w:rsid w:val="00204A98"/>
    <w:rPr>
      <w:sz w:val="20"/>
      <w:szCs w:val="20"/>
    </w:rPr>
  </w:style>
  <w:style w:type="character" w:styleId="a8">
    <w:name w:val="footnote reference"/>
    <w:basedOn w:val="a0"/>
    <w:uiPriority w:val="99"/>
    <w:unhideWhenUsed/>
    <w:rsid w:val="00204A98"/>
    <w:rPr>
      <w:vertAlign w:val="superscript"/>
    </w:rPr>
  </w:style>
  <w:style w:type="character" w:styleId="a9">
    <w:name w:val="annotation reference"/>
    <w:basedOn w:val="a0"/>
    <w:uiPriority w:val="99"/>
    <w:semiHidden/>
    <w:unhideWhenUsed/>
    <w:rsid w:val="00F83AA2"/>
    <w:rPr>
      <w:sz w:val="16"/>
      <w:szCs w:val="16"/>
    </w:rPr>
  </w:style>
  <w:style w:type="paragraph" w:styleId="aa">
    <w:name w:val="annotation text"/>
    <w:basedOn w:val="a"/>
    <w:link w:val="Char1"/>
    <w:uiPriority w:val="99"/>
    <w:semiHidden/>
    <w:unhideWhenUsed/>
    <w:rsid w:val="00F83AA2"/>
    <w:pPr>
      <w:spacing w:line="240" w:lineRule="auto"/>
    </w:pPr>
    <w:rPr>
      <w:sz w:val="20"/>
      <w:szCs w:val="20"/>
    </w:rPr>
  </w:style>
  <w:style w:type="character" w:customStyle="1" w:styleId="Char1">
    <w:name w:val="Κείμενο σχολίου Char"/>
    <w:basedOn w:val="a0"/>
    <w:link w:val="aa"/>
    <w:uiPriority w:val="99"/>
    <w:semiHidden/>
    <w:rsid w:val="00F83AA2"/>
    <w:rPr>
      <w:sz w:val="20"/>
      <w:szCs w:val="20"/>
    </w:rPr>
  </w:style>
  <w:style w:type="paragraph" w:styleId="ab">
    <w:name w:val="annotation subject"/>
    <w:basedOn w:val="aa"/>
    <w:next w:val="aa"/>
    <w:link w:val="Char2"/>
    <w:uiPriority w:val="99"/>
    <w:semiHidden/>
    <w:unhideWhenUsed/>
    <w:rsid w:val="00F83AA2"/>
    <w:rPr>
      <w:b/>
      <w:bCs/>
    </w:rPr>
  </w:style>
  <w:style w:type="character" w:customStyle="1" w:styleId="Char2">
    <w:name w:val="Θέμα σχολίου Char"/>
    <w:basedOn w:val="Char1"/>
    <w:link w:val="ab"/>
    <w:uiPriority w:val="99"/>
    <w:semiHidden/>
    <w:rsid w:val="00F83AA2"/>
    <w:rPr>
      <w:b/>
      <w:bCs/>
      <w:sz w:val="20"/>
      <w:szCs w:val="20"/>
    </w:rPr>
  </w:style>
  <w:style w:type="paragraph" w:styleId="ac">
    <w:name w:val="header"/>
    <w:basedOn w:val="a"/>
    <w:link w:val="Char3"/>
    <w:uiPriority w:val="99"/>
    <w:unhideWhenUsed/>
    <w:rsid w:val="00447D45"/>
    <w:pPr>
      <w:tabs>
        <w:tab w:val="center" w:pos="4153"/>
        <w:tab w:val="right" w:pos="8306"/>
      </w:tabs>
      <w:spacing w:line="240" w:lineRule="auto"/>
    </w:pPr>
  </w:style>
  <w:style w:type="character" w:customStyle="1" w:styleId="Char3">
    <w:name w:val="Κεφαλίδα Char"/>
    <w:basedOn w:val="a0"/>
    <w:link w:val="ac"/>
    <w:uiPriority w:val="99"/>
    <w:rsid w:val="00447D45"/>
  </w:style>
  <w:style w:type="paragraph" w:styleId="ad">
    <w:name w:val="footer"/>
    <w:basedOn w:val="a"/>
    <w:link w:val="Char4"/>
    <w:uiPriority w:val="99"/>
    <w:unhideWhenUsed/>
    <w:rsid w:val="00447D45"/>
    <w:pPr>
      <w:tabs>
        <w:tab w:val="center" w:pos="4153"/>
        <w:tab w:val="right" w:pos="8306"/>
      </w:tabs>
      <w:spacing w:line="240" w:lineRule="auto"/>
    </w:pPr>
  </w:style>
  <w:style w:type="character" w:customStyle="1" w:styleId="Char4">
    <w:name w:val="Υποσέλιδο Char"/>
    <w:basedOn w:val="a0"/>
    <w:link w:val="ad"/>
    <w:uiPriority w:val="99"/>
    <w:rsid w:val="00447D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6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3F9B83-3342-4288-A4F5-C0D3C1A53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747</Words>
  <Characters>4260</Characters>
  <Application>Microsoft Office Word</Application>
  <DocSecurity>0</DocSecurity>
  <Lines>35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2018-06-25T12:29:00Z</dcterms:created>
  <dcterms:modified xsi:type="dcterms:W3CDTF">2018-06-28T10:40:00Z</dcterms:modified>
</cp:coreProperties>
</file>