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0CD" w:rsidRPr="00EC2125" w:rsidRDefault="007830CD" w:rsidP="00487445">
      <w:pPr>
        <w:jc w:val="center"/>
        <w:rPr>
          <w:b/>
        </w:rPr>
      </w:pPr>
      <w:bookmarkStart w:id="0" w:name="_GoBack"/>
      <w:r w:rsidRPr="00EC2125">
        <w:rPr>
          <w:b/>
        </w:rPr>
        <w:t xml:space="preserve">Μεθοδολογία Υπολογισμού Δείκτη Εκροής </w:t>
      </w:r>
      <w:r w:rsidRPr="00EC2125">
        <w:rPr>
          <w:b/>
          <w:lang w:val="en-US"/>
        </w:rPr>
        <w:t>CO</w:t>
      </w:r>
      <w:r w:rsidRPr="00EC2125">
        <w:rPr>
          <w:b/>
        </w:rPr>
        <w:t>34</w:t>
      </w:r>
      <w:r w:rsidR="00487445">
        <w:rPr>
          <w:b/>
        </w:rPr>
        <w:t xml:space="preserve"> για δράσεις εξοικονόμησης ενέργειας σε δ</w:t>
      </w:r>
      <w:r w:rsidR="005670CF">
        <w:rPr>
          <w:b/>
        </w:rPr>
        <w:t>ημόσια κτ</w:t>
      </w:r>
      <w:r w:rsidR="00487445">
        <w:rPr>
          <w:b/>
        </w:rPr>
        <w:t>ί</w:t>
      </w:r>
      <w:r w:rsidR="005670CF">
        <w:rPr>
          <w:b/>
        </w:rPr>
        <w:t>ρια</w:t>
      </w:r>
    </w:p>
    <w:bookmarkEnd w:id="0"/>
    <w:p w:rsidR="00487445" w:rsidRDefault="00487445" w:rsidP="00487445">
      <w:pPr>
        <w:rPr>
          <w:b/>
        </w:rPr>
      </w:pPr>
    </w:p>
    <w:p w:rsidR="00204A98" w:rsidRPr="00204A98" w:rsidRDefault="00204A98" w:rsidP="00487445">
      <w:r>
        <w:t xml:space="preserve">Για τον υπολογισμό του </w:t>
      </w:r>
      <w:r w:rsidR="00926FBB">
        <w:t>Δ</w:t>
      </w:r>
      <w:r>
        <w:t xml:space="preserve">είκτη </w:t>
      </w:r>
      <w:r w:rsidR="00926FBB">
        <w:t>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>
        <w:t>4, χρησιμοποιήθηκαν</w:t>
      </w:r>
      <w:r w:rsidRPr="00204A98">
        <w:t>:</w:t>
      </w:r>
    </w:p>
    <w:p w:rsidR="009B4F5A" w:rsidRPr="009B4F5A" w:rsidRDefault="009B4F5A" w:rsidP="009B4F5A">
      <w:pPr>
        <w:ind w:left="709" w:hanging="709"/>
      </w:pPr>
      <w:r>
        <w:rPr>
          <w:lang w:val="en-US"/>
        </w:rPr>
        <w:t>I</w:t>
      </w:r>
      <w:r>
        <w:t>.</w:t>
      </w:r>
      <w:r w:rsidRPr="009B4F5A">
        <w:tab/>
      </w:r>
      <w:r w:rsidR="00204A98">
        <w:t xml:space="preserve">Οι συντελεστές εκπομπής </w:t>
      </w:r>
      <w:r w:rsidR="00204A98" w:rsidRPr="009B4F5A">
        <w:rPr>
          <w:lang w:val="en-US"/>
        </w:rPr>
        <w:t>CO</w:t>
      </w:r>
      <w:r w:rsidR="00204A98" w:rsidRPr="009B4F5A">
        <w:rPr>
          <w:vertAlign w:val="subscript"/>
        </w:rPr>
        <w:t>2</w:t>
      </w:r>
      <w:r w:rsidR="00204A98">
        <w:t xml:space="preserve"> για την περίπτωση της ηλεκτρικής ενέργειας και του πετρελαίου θέρμανσης</w:t>
      </w:r>
      <w:bookmarkStart w:id="1" w:name="_Ref513025396"/>
      <w:r w:rsidR="00204A98">
        <w:rPr>
          <w:rStyle w:val="a8"/>
          <w:rFonts w:cs="Calibri"/>
        </w:rPr>
        <w:footnoteReference w:id="1"/>
      </w:r>
      <w:bookmarkEnd w:id="1"/>
      <w:r w:rsidR="00204A98" w:rsidRPr="009B4F5A">
        <w:rPr>
          <w:rFonts w:cs="Calibri"/>
        </w:rPr>
        <w:t>,</w:t>
      </w:r>
      <w:r w:rsidR="00204A98" w:rsidRPr="0086668A">
        <w:t xml:space="preserve"> </w:t>
      </w:r>
      <w:r w:rsidR="00204A98">
        <w:t xml:space="preserve">οι οποίοι ανέρχονται σε 0,606 </w:t>
      </w:r>
      <w:proofErr w:type="gramStart"/>
      <w:r w:rsidR="00204A98" w:rsidRPr="009B4F5A">
        <w:rPr>
          <w:lang w:val="en-US"/>
        </w:rPr>
        <w:t>tn</w:t>
      </w:r>
      <w:proofErr w:type="gramEnd"/>
      <w:r w:rsidR="00204A98" w:rsidRPr="0086668A">
        <w:t xml:space="preserve"> </w:t>
      </w:r>
      <w:r w:rsidR="00204A98" w:rsidRPr="009B4F5A">
        <w:rPr>
          <w:lang w:val="en-US"/>
        </w:rPr>
        <w:t>CO</w:t>
      </w:r>
      <w:r w:rsidR="00204A98" w:rsidRPr="009B4F5A">
        <w:rPr>
          <w:vertAlign w:val="subscript"/>
        </w:rPr>
        <w:t>2</w:t>
      </w:r>
      <w:r w:rsidR="00204A98" w:rsidRPr="0086668A">
        <w:t>/</w:t>
      </w:r>
      <w:r w:rsidR="00204A98" w:rsidRPr="009B4F5A">
        <w:rPr>
          <w:lang w:val="en-US"/>
        </w:rPr>
        <w:t>MWh</w:t>
      </w:r>
      <w:r w:rsidR="00204A98" w:rsidRPr="0086668A">
        <w:t xml:space="preserve"> </w:t>
      </w:r>
      <w:r w:rsidR="00204A98">
        <w:t xml:space="preserve">και 0,264 </w:t>
      </w:r>
      <w:r w:rsidR="00204A98" w:rsidRPr="009B4F5A">
        <w:rPr>
          <w:lang w:val="en-US"/>
        </w:rPr>
        <w:t>tn</w:t>
      </w:r>
      <w:r w:rsidR="00204A98" w:rsidRPr="0086668A">
        <w:t xml:space="preserve"> </w:t>
      </w:r>
      <w:r w:rsidR="00204A98" w:rsidRPr="009B4F5A">
        <w:rPr>
          <w:lang w:val="en-US"/>
        </w:rPr>
        <w:t>CO</w:t>
      </w:r>
      <w:r w:rsidR="00204A98" w:rsidRPr="009B4F5A">
        <w:rPr>
          <w:vertAlign w:val="subscript"/>
        </w:rPr>
        <w:t>2</w:t>
      </w:r>
      <w:r w:rsidR="00204A98" w:rsidRPr="0086668A">
        <w:t>/</w:t>
      </w:r>
      <w:r w:rsidR="00204A98" w:rsidRPr="009B4F5A">
        <w:rPr>
          <w:lang w:val="en-US"/>
        </w:rPr>
        <w:t>MWh</w:t>
      </w:r>
      <w:r w:rsidR="00204A98" w:rsidRPr="0086668A">
        <w:t xml:space="preserve"> </w:t>
      </w:r>
      <w:r w:rsidR="00204A98">
        <w:t>αντίστοιχα.</w:t>
      </w:r>
    </w:p>
    <w:p w:rsidR="009B4F5A" w:rsidRPr="009B4F5A" w:rsidRDefault="009B4F5A" w:rsidP="009B4F5A">
      <w:pPr>
        <w:ind w:left="709" w:hanging="709"/>
      </w:pPr>
      <w:r>
        <w:rPr>
          <w:lang w:val="en-US"/>
        </w:rPr>
        <w:t>II</w:t>
      </w:r>
      <w:r w:rsidRPr="009B4F5A">
        <w:t>.</w:t>
      </w:r>
      <w:r w:rsidRPr="009B4F5A">
        <w:tab/>
      </w:r>
      <w:r w:rsidR="00204A98">
        <w:t>Οι συντελεστές μετατροπής της τελικής ενέργειας σε πρωτογενή ενέργεια για την περίπτωση της ηλεκτρικής ενέργειας και του πετρελαίου θέρμανσης</w:t>
      </w:r>
      <w:r w:rsidR="00F25EC3" w:rsidRPr="009B4F5A">
        <w:rPr>
          <w:rFonts w:cs="Calibri"/>
        </w:rPr>
        <w:fldChar w:fldCharType="begin"/>
      </w:r>
      <w:r w:rsidR="00F25EC3" w:rsidRPr="009B4F5A">
        <w:rPr>
          <w:rFonts w:cs="Calibri"/>
        </w:rPr>
        <w:instrText xml:space="preserve"> NOTEREF _Ref513025396 \f \h </w:instrText>
      </w:r>
      <w:r w:rsidR="00F25EC3" w:rsidRPr="009B4F5A">
        <w:rPr>
          <w:rFonts w:cs="Calibri"/>
        </w:rPr>
      </w:r>
      <w:r w:rsidR="00F25EC3" w:rsidRPr="009B4F5A">
        <w:rPr>
          <w:rFonts w:cs="Calibri"/>
        </w:rPr>
        <w:fldChar w:fldCharType="separate"/>
      </w:r>
      <w:r w:rsidR="00C67CC9" w:rsidRPr="00C67CC9">
        <w:rPr>
          <w:rStyle w:val="a8"/>
        </w:rPr>
        <w:t>1</w:t>
      </w:r>
      <w:r w:rsidR="00F25EC3" w:rsidRPr="009B4F5A">
        <w:rPr>
          <w:rFonts w:cs="Calibri"/>
        </w:rPr>
        <w:fldChar w:fldCharType="end"/>
      </w:r>
      <w:r w:rsidR="00F25EC3" w:rsidRPr="009B4F5A">
        <w:rPr>
          <w:rFonts w:cs="Calibri"/>
        </w:rPr>
        <w:t>,</w:t>
      </w:r>
      <w:r w:rsidR="00204A98" w:rsidRPr="0086668A">
        <w:t xml:space="preserve"> </w:t>
      </w:r>
      <w:r w:rsidR="00204A98">
        <w:t>οι οποίοι ανέρχονται σε 2,170</w:t>
      </w:r>
      <w:r w:rsidR="00204A98" w:rsidRPr="0086668A">
        <w:t xml:space="preserve"> </w:t>
      </w:r>
      <w:r w:rsidR="00204A98">
        <w:t>και 1,1</w:t>
      </w:r>
      <w:r w:rsidR="00FC6B5D">
        <w:t>00</w:t>
      </w:r>
      <w:r w:rsidR="00204A98" w:rsidRPr="0086668A">
        <w:t xml:space="preserve"> </w:t>
      </w:r>
      <w:r>
        <w:t>αντίστοιχα</w:t>
      </w:r>
      <w:r w:rsidRPr="009B4F5A">
        <w:t>.</w:t>
      </w:r>
    </w:p>
    <w:p w:rsidR="00204A98" w:rsidRPr="009B4F5A" w:rsidRDefault="009B4F5A" w:rsidP="009B4F5A">
      <w:pPr>
        <w:ind w:left="709" w:hanging="709"/>
      </w:pPr>
      <w:r>
        <w:rPr>
          <w:lang w:val="en-US"/>
        </w:rPr>
        <w:t>III</w:t>
      </w:r>
      <w:r w:rsidRPr="009B4F5A">
        <w:t>.</w:t>
      </w:r>
      <w:r w:rsidRPr="009B4F5A">
        <w:tab/>
      </w:r>
      <w:r w:rsidR="00204A98">
        <w:t xml:space="preserve">Η παραδοχή ότι </w:t>
      </w:r>
      <w:r w:rsidR="00204A98" w:rsidRPr="009B4F5A">
        <w:rPr>
          <w:rFonts w:cs="Calibri"/>
        </w:rPr>
        <w:t>η πλειοψηφία των παρεμβάσεων στα Δημόσια Κτίρια, αφορούν μέτρα για την μείωση του θερμικού φορτίου, και αποδίδεται σε ποσοστό 80% στη θερμική ενέργεια</w:t>
      </w:r>
      <w:r w:rsidR="00350318" w:rsidRPr="009B4F5A">
        <w:rPr>
          <w:rFonts w:cs="Calibri"/>
        </w:rPr>
        <w:t xml:space="preserve"> (πετρέλαιο θέρμανσης)</w:t>
      </w:r>
      <w:r w:rsidR="00204A98" w:rsidRPr="009B4F5A">
        <w:rPr>
          <w:rFonts w:cs="Calibri"/>
        </w:rPr>
        <w:t xml:space="preserve"> και σε ποσοστό 20% στην ηλεκτρική ενέργεια, στο σύνολο της εξοικονομούμενης πρωτογενούς ενέργειας.</w:t>
      </w:r>
    </w:p>
    <w:p w:rsidR="00204A98" w:rsidRDefault="00204A98" w:rsidP="00204A98">
      <w:pPr>
        <w:rPr>
          <w:rFonts w:cs="Calibri"/>
        </w:rPr>
      </w:pPr>
    </w:p>
    <w:p w:rsidR="00204A98" w:rsidRPr="00F71F27" w:rsidRDefault="00204A98" w:rsidP="00487445">
      <w:r>
        <w:t xml:space="preserve">Δεδομένου ότι η </w:t>
      </w:r>
      <w:r>
        <w:rPr>
          <w:rFonts w:cs="Calibri"/>
        </w:rPr>
        <w:t xml:space="preserve">τιμή </w:t>
      </w:r>
      <w:r w:rsidR="00D56A9F">
        <w:rPr>
          <w:rFonts w:cs="Calibri"/>
        </w:rPr>
        <w:t xml:space="preserve">του </w:t>
      </w:r>
      <w:r w:rsidR="00926FBB">
        <w:t>Δείκτη 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>
        <w:t>2</w:t>
      </w:r>
      <w:r w:rsidR="00487445">
        <w:t xml:space="preserve"> </w:t>
      </w:r>
      <w:r>
        <w:t xml:space="preserve">για την περίπτωση </w:t>
      </w:r>
      <w:r w:rsidR="00D56A9F">
        <w:t>των</w:t>
      </w:r>
      <w:r>
        <w:t xml:space="preserve"> Π</w:t>
      </w:r>
      <w:r w:rsidR="00350318">
        <w:t xml:space="preserve">εριφερειακών </w:t>
      </w:r>
      <w:r>
        <w:t xml:space="preserve">ΕΠ ισούται με </w:t>
      </w:r>
      <w:r w:rsidR="00D56A9F">
        <w:t>4.</w:t>
      </w:r>
      <w:r w:rsidR="00350318">
        <w:t>000</w:t>
      </w:r>
      <w:r w:rsidR="00D56A9F">
        <w:t>.</w:t>
      </w:r>
      <w:r w:rsidR="00350318">
        <w:t>000</w:t>
      </w:r>
      <w:r w:rsidRPr="00DF178F">
        <w:t xml:space="preserve"> </w:t>
      </w:r>
      <w:r w:rsidRPr="00350318">
        <w:rPr>
          <w:rFonts w:cs="Calibri"/>
          <w:lang w:val="en-US"/>
        </w:rPr>
        <w:t>kWh</w:t>
      </w:r>
      <w:r w:rsidRPr="00A87251">
        <w:rPr>
          <w:rFonts w:cs="Calibri"/>
        </w:rPr>
        <w:t>/</w:t>
      </w:r>
      <w:r w:rsidRPr="00350318">
        <w:rPr>
          <w:rFonts w:cs="Calibri"/>
        </w:rPr>
        <w:t>έτος</w:t>
      </w:r>
      <w:r w:rsidR="00487445">
        <w:rPr>
          <w:rFonts w:cs="Calibri"/>
        </w:rPr>
        <w:t xml:space="preserve"> </w:t>
      </w:r>
      <w:r w:rsidR="00487445" w:rsidRPr="00C341ED">
        <w:t>(</w:t>
      </w:r>
      <w:r w:rsidR="00487445">
        <w:t>βλέπε ΔΤΔ</w:t>
      </w:r>
      <w:r w:rsidR="00487445" w:rsidRPr="00C164EB">
        <w:t xml:space="preserve"> </w:t>
      </w:r>
      <w:r w:rsidR="00487445">
        <w:rPr>
          <w:lang w:val="en-US"/>
        </w:rPr>
        <w:t>CO</w:t>
      </w:r>
      <w:r w:rsidR="00487445" w:rsidRPr="00C341ED">
        <w:t>3</w:t>
      </w:r>
      <w:r w:rsidR="00487445">
        <w:t>2 μεθοδολογία υπολογισμού)</w:t>
      </w:r>
      <w:r>
        <w:rPr>
          <w:rFonts w:cs="Calibri"/>
        </w:rPr>
        <w:t xml:space="preserve">, η </w:t>
      </w:r>
      <w:r w:rsidR="00350318">
        <w:rPr>
          <w:rFonts w:cs="Calibri"/>
        </w:rPr>
        <w:t xml:space="preserve">αντίστοιχη </w:t>
      </w:r>
      <w:r>
        <w:rPr>
          <w:rFonts w:cs="Calibri"/>
        </w:rPr>
        <w:t xml:space="preserve">τιμή του </w:t>
      </w:r>
      <w:r w:rsidR="00926FBB">
        <w:t>Δείκτη 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 w:rsidRPr="00871022">
        <w:t>4</w:t>
      </w:r>
      <w:r>
        <w:t xml:space="preserve"> </w:t>
      </w:r>
      <w:r w:rsidR="00350318">
        <w:t>ισούται με</w:t>
      </w:r>
      <w:r w:rsidRPr="00F71F27">
        <w:t>:</w:t>
      </w:r>
    </w:p>
    <w:p w:rsidR="00204A98" w:rsidRPr="00487445" w:rsidRDefault="00204A98" w:rsidP="00DE3779">
      <w:pPr>
        <w:jc w:val="center"/>
        <w:rPr>
          <w:rFonts w:cs="Calibri"/>
          <w:b/>
          <w:lang w:val="en-US"/>
        </w:rPr>
      </w:pPr>
      <w:r w:rsidRPr="00487445">
        <w:rPr>
          <w:b/>
          <w:lang w:val="en-US"/>
        </w:rPr>
        <w:t>(</w:t>
      </w:r>
      <w:r w:rsidR="00D56A9F" w:rsidRPr="00487445">
        <w:rPr>
          <w:b/>
          <w:lang w:val="en-US"/>
        </w:rPr>
        <w:t>4.</w:t>
      </w:r>
      <w:r w:rsidR="00350318" w:rsidRPr="00487445">
        <w:rPr>
          <w:b/>
          <w:lang w:val="en-US"/>
        </w:rPr>
        <w:t>000.000</w:t>
      </w:r>
      <w:r w:rsidRPr="00487445">
        <w:rPr>
          <w:b/>
          <w:lang w:val="en-US"/>
        </w:rPr>
        <w:t xml:space="preserve"> </w:t>
      </w:r>
      <w:r w:rsidRPr="00487445">
        <w:rPr>
          <w:rFonts w:cs="Calibri"/>
          <w:b/>
          <w:lang w:val="en-US"/>
        </w:rPr>
        <w:t>kWh/</w:t>
      </w:r>
      <w:r w:rsidRPr="00487445">
        <w:rPr>
          <w:rFonts w:cs="Calibri"/>
          <w:b/>
        </w:rPr>
        <w:t>έτος</w:t>
      </w:r>
      <w:r w:rsidRPr="00487445">
        <w:rPr>
          <w:rFonts w:cs="Calibri"/>
          <w:b/>
          <w:lang w:val="en-US"/>
        </w:rPr>
        <w:t>/1000)</w:t>
      </w:r>
      <w:r w:rsidR="00DE3779" w:rsidRPr="00487445">
        <w:rPr>
          <w:rFonts w:cs="Calibri"/>
          <w:b/>
          <w:lang w:val="en-US"/>
        </w:rPr>
        <w:t xml:space="preserve"> </w:t>
      </w:r>
      <w:r w:rsidR="00C93566" w:rsidRPr="00487445">
        <w:rPr>
          <w:rFonts w:cs="Calibri"/>
          <w:b/>
          <w:lang w:val="en-US"/>
        </w:rPr>
        <w:t>x</w:t>
      </w:r>
      <w:r w:rsidR="00DE3779" w:rsidRPr="00487445">
        <w:rPr>
          <w:rFonts w:cs="Calibri"/>
          <w:b/>
          <w:lang w:val="en-US"/>
        </w:rPr>
        <w:t xml:space="preserve"> </w:t>
      </w:r>
      <w:r w:rsidRPr="00487445">
        <w:rPr>
          <w:rFonts w:cs="Calibri"/>
          <w:b/>
          <w:lang w:val="en-US"/>
        </w:rPr>
        <w:t>8</w:t>
      </w:r>
      <w:r w:rsidR="00D56A9F" w:rsidRPr="00487445">
        <w:rPr>
          <w:rFonts w:cs="Calibri"/>
          <w:b/>
          <w:lang w:val="en-US"/>
        </w:rPr>
        <w:t>0</w:t>
      </w:r>
      <w:r w:rsidR="00350318" w:rsidRPr="00487445">
        <w:rPr>
          <w:rFonts w:cs="Calibri"/>
          <w:b/>
          <w:lang w:val="en-US"/>
        </w:rPr>
        <w:t>%</w:t>
      </w:r>
      <w:r w:rsidR="00DE3779" w:rsidRPr="00487445">
        <w:rPr>
          <w:rFonts w:cs="Calibri"/>
          <w:b/>
          <w:lang w:val="en-US"/>
        </w:rPr>
        <w:t>/1,1</w:t>
      </w:r>
      <w:r w:rsidR="00D56A9F" w:rsidRPr="00487445">
        <w:rPr>
          <w:rFonts w:cs="Calibri"/>
          <w:b/>
          <w:lang w:val="en-US"/>
        </w:rPr>
        <w:t>00</w:t>
      </w:r>
      <w:r w:rsidR="00DE3779" w:rsidRPr="00487445">
        <w:rPr>
          <w:rFonts w:cs="Calibri"/>
          <w:b/>
          <w:lang w:val="en-US"/>
        </w:rPr>
        <w:t xml:space="preserve"> </w:t>
      </w:r>
      <w:r w:rsidR="00C93566" w:rsidRPr="00487445">
        <w:rPr>
          <w:rFonts w:cs="Calibri"/>
          <w:b/>
          <w:lang w:val="en-US"/>
        </w:rPr>
        <w:t>x</w:t>
      </w:r>
      <w:r w:rsidR="00DE3779" w:rsidRPr="00487445">
        <w:rPr>
          <w:rFonts w:cs="Calibri"/>
          <w:b/>
          <w:lang w:val="en-US"/>
        </w:rPr>
        <w:t xml:space="preserve"> 0,264 </w:t>
      </w:r>
      <w:proofErr w:type="gramStart"/>
      <w:r w:rsidR="00DE3779" w:rsidRPr="00487445">
        <w:rPr>
          <w:b/>
          <w:lang w:val="en-US"/>
        </w:rPr>
        <w:t>tn</w:t>
      </w:r>
      <w:proofErr w:type="gramEnd"/>
      <w:r w:rsidR="00DE3779" w:rsidRPr="00487445">
        <w:rPr>
          <w:b/>
          <w:lang w:val="en-US"/>
        </w:rPr>
        <w:t xml:space="preserve"> CO</w:t>
      </w:r>
      <w:r w:rsidR="00DE3779" w:rsidRPr="00487445">
        <w:rPr>
          <w:b/>
          <w:vertAlign w:val="subscript"/>
          <w:lang w:val="en-US"/>
        </w:rPr>
        <w:t>2</w:t>
      </w:r>
      <w:r w:rsidR="00DE3779" w:rsidRPr="00487445">
        <w:rPr>
          <w:b/>
          <w:lang w:val="en-US"/>
        </w:rPr>
        <w:t>/MWh + (</w:t>
      </w:r>
      <w:r w:rsidR="00D56A9F" w:rsidRPr="00487445">
        <w:rPr>
          <w:b/>
          <w:lang w:val="en-US"/>
        </w:rPr>
        <w:t>4.</w:t>
      </w:r>
      <w:r w:rsidR="00350318" w:rsidRPr="00487445">
        <w:rPr>
          <w:b/>
          <w:lang w:val="en-US"/>
        </w:rPr>
        <w:t>000</w:t>
      </w:r>
      <w:r w:rsidR="00D56A9F" w:rsidRPr="00487445">
        <w:rPr>
          <w:b/>
          <w:lang w:val="en-US"/>
        </w:rPr>
        <w:t>.</w:t>
      </w:r>
      <w:r w:rsidR="00350318" w:rsidRPr="00487445">
        <w:rPr>
          <w:b/>
          <w:lang w:val="en-US"/>
        </w:rPr>
        <w:t>000</w:t>
      </w:r>
      <w:r w:rsidR="00DE3779" w:rsidRPr="00487445">
        <w:rPr>
          <w:b/>
          <w:lang w:val="en-US"/>
        </w:rPr>
        <w:t xml:space="preserve"> </w:t>
      </w:r>
      <w:r w:rsidR="00DE3779" w:rsidRPr="00487445">
        <w:rPr>
          <w:rFonts w:cs="Calibri"/>
          <w:b/>
          <w:lang w:val="en-US"/>
        </w:rPr>
        <w:t>kWh/</w:t>
      </w:r>
      <w:r w:rsidR="00DE3779" w:rsidRPr="00487445">
        <w:rPr>
          <w:rFonts w:cs="Calibri"/>
          <w:b/>
        </w:rPr>
        <w:t>έτος</w:t>
      </w:r>
      <w:r w:rsidR="00DE3779" w:rsidRPr="00487445">
        <w:rPr>
          <w:rFonts w:cs="Calibri"/>
          <w:b/>
          <w:lang w:val="en-US"/>
        </w:rPr>
        <w:t xml:space="preserve">/1000) </w:t>
      </w:r>
      <w:r w:rsidR="00C93566" w:rsidRPr="00487445">
        <w:rPr>
          <w:rFonts w:cs="Calibri"/>
          <w:b/>
          <w:lang w:val="en-US"/>
        </w:rPr>
        <w:t>x</w:t>
      </w:r>
      <w:r w:rsidR="00DE3779" w:rsidRPr="00487445">
        <w:rPr>
          <w:rFonts w:cs="Calibri"/>
          <w:b/>
          <w:lang w:val="en-US"/>
        </w:rPr>
        <w:t xml:space="preserve"> 2</w:t>
      </w:r>
      <w:r w:rsidR="00D56A9F" w:rsidRPr="00487445">
        <w:rPr>
          <w:rFonts w:cs="Calibri"/>
          <w:b/>
          <w:lang w:val="en-US"/>
        </w:rPr>
        <w:t>0</w:t>
      </w:r>
      <w:r w:rsidR="00350318" w:rsidRPr="00487445">
        <w:rPr>
          <w:rFonts w:cs="Calibri"/>
          <w:b/>
          <w:lang w:val="en-US"/>
        </w:rPr>
        <w:t>%</w:t>
      </w:r>
      <w:r w:rsidR="00DE3779" w:rsidRPr="00487445">
        <w:rPr>
          <w:rFonts w:cs="Calibri"/>
          <w:b/>
          <w:lang w:val="en-US"/>
        </w:rPr>
        <w:t xml:space="preserve">/2,170 </w:t>
      </w:r>
      <w:r w:rsidR="00C93566" w:rsidRPr="00487445">
        <w:rPr>
          <w:rFonts w:cs="Calibri"/>
          <w:b/>
          <w:lang w:val="en-US"/>
        </w:rPr>
        <w:t>x</w:t>
      </w:r>
      <w:r w:rsidR="00DE3779" w:rsidRPr="00487445">
        <w:rPr>
          <w:rFonts w:cs="Calibri"/>
          <w:b/>
          <w:lang w:val="en-US"/>
        </w:rPr>
        <w:t xml:space="preserve"> 0,606 </w:t>
      </w:r>
      <w:r w:rsidR="00DE3779" w:rsidRPr="00487445">
        <w:rPr>
          <w:b/>
          <w:lang w:val="en-US"/>
        </w:rPr>
        <w:t>tn CO</w:t>
      </w:r>
      <w:r w:rsidR="00DE3779" w:rsidRPr="00487445">
        <w:rPr>
          <w:b/>
          <w:vertAlign w:val="subscript"/>
          <w:lang w:val="en-US"/>
        </w:rPr>
        <w:t>2</w:t>
      </w:r>
      <w:r w:rsidR="00DE3779" w:rsidRPr="00487445">
        <w:rPr>
          <w:b/>
          <w:lang w:val="en-US"/>
        </w:rPr>
        <w:t xml:space="preserve">/MWh = </w:t>
      </w:r>
      <w:r w:rsidR="00A4388D" w:rsidRPr="00487445">
        <w:rPr>
          <w:b/>
          <w:lang w:val="en-US"/>
        </w:rPr>
        <w:t>991</w:t>
      </w:r>
      <w:r w:rsidR="00DE3779" w:rsidRPr="00487445">
        <w:rPr>
          <w:b/>
          <w:lang w:val="en-US"/>
        </w:rPr>
        <w:t xml:space="preserve"> tn CO</w:t>
      </w:r>
      <w:r w:rsidR="00DE3779" w:rsidRPr="00487445">
        <w:rPr>
          <w:b/>
          <w:vertAlign w:val="subscript"/>
          <w:lang w:val="en-US"/>
        </w:rPr>
        <w:t>2</w:t>
      </w:r>
    </w:p>
    <w:p w:rsidR="00487445" w:rsidRDefault="00487445" w:rsidP="00204A98"/>
    <w:p w:rsidR="00487445" w:rsidRDefault="00487445" w:rsidP="00487445">
      <w:r>
        <w:t>Επομένως:</w:t>
      </w:r>
      <w:r w:rsidRPr="00D23E8C">
        <w:t xml:space="preserve"> </w:t>
      </w:r>
    </w:p>
    <w:p w:rsidR="00487445" w:rsidRDefault="00487445" w:rsidP="00487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για </w:t>
      </w:r>
      <w:r w:rsidRPr="00D23E8C">
        <w:t xml:space="preserve">διατιθέμενο Π/Υ = 10.000.000 € </w:t>
      </w:r>
    </w:p>
    <w:p w:rsidR="00487445" w:rsidRDefault="00487445" w:rsidP="00487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η </w:t>
      </w:r>
      <w:r>
        <w:rPr>
          <w:rFonts w:cs="Calibri"/>
        </w:rPr>
        <w:t xml:space="preserve">τιμή του δείκτη </w:t>
      </w:r>
      <w:r>
        <w:rPr>
          <w:lang w:val="en-US"/>
        </w:rPr>
        <w:t>CO</w:t>
      </w:r>
      <w:r w:rsidRPr="0058489C">
        <w:t>3</w:t>
      </w:r>
      <w:r>
        <w:t>4</w:t>
      </w:r>
      <w:r w:rsidRPr="00D23E8C">
        <w:t xml:space="preserve"> </w:t>
      </w:r>
      <w:r>
        <w:t>είναι 991</w:t>
      </w:r>
      <w:r w:rsidRPr="00DE3779">
        <w:t xml:space="preserve"> </w:t>
      </w:r>
      <w:proofErr w:type="spellStart"/>
      <w:r w:rsidRPr="00204A98">
        <w:rPr>
          <w:lang w:val="en-US"/>
        </w:rPr>
        <w:t>tn</w:t>
      </w:r>
      <w:proofErr w:type="spellEnd"/>
      <w:r w:rsidRPr="00DE3779">
        <w:t xml:space="preserve"> </w:t>
      </w:r>
      <w:r w:rsidRPr="00DE3779">
        <w:rPr>
          <w:lang w:val="en-US"/>
        </w:rPr>
        <w:t>CO</w:t>
      </w:r>
      <w:r w:rsidRPr="00DE3779">
        <w:rPr>
          <w:vertAlign w:val="subscript"/>
        </w:rPr>
        <w:t>2</w:t>
      </w:r>
      <w:r>
        <w:t>/</w:t>
      </w:r>
      <w:r w:rsidRPr="00DE3779">
        <w:rPr>
          <w:rFonts w:cs="Calibri"/>
        </w:rPr>
        <w:t>έτος</w:t>
      </w:r>
    </w:p>
    <w:p w:rsidR="00487445" w:rsidRDefault="00487445" w:rsidP="00204A98"/>
    <w:p w:rsidR="00545E9B" w:rsidRDefault="00545E9B" w:rsidP="00545E9B">
      <w:bookmarkStart w:id="2" w:name="_Hlk509263588"/>
    </w:p>
    <w:bookmarkEnd w:id="2"/>
    <w:p w:rsidR="00545E9B" w:rsidRPr="00F25EC3" w:rsidRDefault="00545E9B" w:rsidP="00487445">
      <w:r>
        <w:t xml:space="preserve">Δεδομένου ότι η </w:t>
      </w:r>
      <w:r>
        <w:rPr>
          <w:rFonts w:cs="Calibri"/>
        </w:rPr>
        <w:t xml:space="preserve">τιμή </w:t>
      </w:r>
      <w:r w:rsidR="00D56A9F">
        <w:rPr>
          <w:rFonts w:cs="Calibri"/>
        </w:rPr>
        <w:t xml:space="preserve">του </w:t>
      </w:r>
      <w:r w:rsidR="009B120B">
        <w:t>Δ</w:t>
      </w:r>
      <w:r>
        <w:t xml:space="preserve">είκτη </w:t>
      </w:r>
      <w:r w:rsidR="009B120B">
        <w:t>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>
        <w:t>2</w:t>
      </w:r>
      <w:r w:rsidRPr="00C341ED">
        <w:t xml:space="preserve"> </w:t>
      </w:r>
      <w:r>
        <w:t>για την περίπτωση τ</w:t>
      </w:r>
      <w:r w:rsidR="00421128">
        <w:t>ων Τομεακών Ε.Π.</w:t>
      </w:r>
      <w:r>
        <w:t xml:space="preserve"> ισούται με </w:t>
      </w:r>
      <w:r w:rsidR="00D56A9F">
        <w:t>1</w:t>
      </w:r>
      <w:r w:rsidR="00421128">
        <w:t>0</w:t>
      </w:r>
      <w:r w:rsidR="00D56A9F">
        <w:t>.</w:t>
      </w:r>
      <w:r w:rsidR="00421128">
        <w:t>000</w:t>
      </w:r>
      <w:r w:rsidR="00D56A9F">
        <w:t>.</w:t>
      </w:r>
      <w:r w:rsidR="00421128">
        <w:t>000</w:t>
      </w:r>
      <w:r>
        <w:t xml:space="preserve"> </w:t>
      </w:r>
      <w:r w:rsidRPr="00F25EC3">
        <w:rPr>
          <w:rFonts w:cs="Calibri"/>
          <w:lang w:val="en-US"/>
        </w:rPr>
        <w:t>kWh</w:t>
      </w:r>
      <w:r w:rsidRPr="00A87251">
        <w:rPr>
          <w:rFonts w:cs="Calibri"/>
        </w:rPr>
        <w:t>/</w:t>
      </w:r>
      <w:r>
        <w:rPr>
          <w:rFonts w:cs="Calibri"/>
        </w:rPr>
        <w:t>έτος</w:t>
      </w:r>
      <w:r w:rsidR="00487445">
        <w:rPr>
          <w:rFonts w:cs="Calibri"/>
        </w:rPr>
        <w:t xml:space="preserve"> </w:t>
      </w:r>
      <w:r w:rsidR="00487445" w:rsidRPr="00C341ED">
        <w:t>(</w:t>
      </w:r>
      <w:r w:rsidR="00487445">
        <w:t>βλέπε ΔΤΔ</w:t>
      </w:r>
      <w:r w:rsidR="00487445" w:rsidRPr="00C164EB">
        <w:t xml:space="preserve"> </w:t>
      </w:r>
      <w:r w:rsidR="00487445">
        <w:rPr>
          <w:lang w:val="en-US"/>
        </w:rPr>
        <w:t>CO</w:t>
      </w:r>
      <w:r w:rsidR="00487445" w:rsidRPr="00C341ED">
        <w:t>3</w:t>
      </w:r>
      <w:r w:rsidR="00487445">
        <w:t>2 μεθοδολογία υπολογισμού)</w:t>
      </w:r>
      <w:r>
        <w:rPr>
          <w:rFonts w:cs="Calibri"/>
        </w:rPr>
        <w:t>, η</w:t>
      </w:r>
      <w:r w:rsidR="00421128">
        <w:rPr>
          <w:rFonts w:cs="Calibri"/>
        </w:rPr>
        <w:t xml:space="preserve"> αντίστοιχη </w:t>
      </w:r>
      <w:r>
        <w:rPr>
          <w:rFonts w:cs="Calibri"/>
        </w:rPr>
        <w:t xml:space="preserve">τιμή του </w:t>
      </w:r>
      <w:r w:rsidR="009B120B">
        <w:t>Δ</w:t>
      </w:r>
      <w:r>
        <w:t xml:space="preserve">είκτη </w:t>
      </w:r>
      <w:r w:rsidR="009B120B">
        <w:t>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 w:rsidRPr="00871022">
        <w:t>4</w:t>
      </w:r>
      <w:r w:rsidR="00421128">
        <w:t xml:space="preserve"> ισούται με</w:t>
      </w:r>
      <w:r w:rsidRPr="00F71F27">
        <w:t>:</w:t>
      </w:r>
    </w:p>
    <w:p w:rsidR="00545E9B" w:rsidRPr="00487445" w:rsidRDefault="00545E9B" w:rsidP="00545E9B">
      <w:pPr>
        <w:jc w:val="center"/>
        <w:rPr>
          <w:rFonts w:cs="Calibri"/>
          <w:b/>
          <w:lang w:val="en-US"/>
        </w:rPr>
      </w:pPr>
      <w:r w:rsidRPr="00487445">
        <w:rPr>
          <w:b/>
          <w:lang w:val="en-US"/>
        </w:rPr>
        <w:t>(</w:t>
      </w:r>
      <w:r w:rsidR="00D56A9F" w:rsidRPr="00487445">
        <w:rPr>
          <w:b/>
          <w:lang w:val="en-US"/>
        </w:rPr>
        <w:t>1</w:t>
      </w:r>
      <w:r w:rsidR="00421128" w:rsidRPr="00487445">
        <w:rPr>
          <w:b/>
          <w:lang w:val="en-US"/>
        </w:rPr>
        <w:t>0</w:t>
      </w:r>
      <w:r w:rsidR="00D56A9F" w:rsidRPr="00487445">
        <w:rPr>
          <w:b/>
          <w:lang w:val="en-US"/>
        </w:rPr>
        <w:t>.</w:t>
      </w:r>
      <w:r w:rsidR="00421128" w:rsidRPr="00487445">
        <w:rPr>
          <w:b/>
          <w:lang w:val="en-US"/>
        </w:rPr>
        <w:t>000</w:t>
      </w:r>
      <w:r w:rsidR="00D56A9F" w:rsidRPr="00487445">
        <w:rPr>
          <w:b/>
          <w:lang w:val="en-US"/>
        </w:rPr>
        <w:t>.</w:t>
      </w:r>
      <w:r w:rsidR="00421128" w:rsidRPr="00487445">
        <w:rPr>
          <w:b/>
          <w:lang w:val="en-US"/>
        </w:rPr>
        <w:t>000</w:t>
      </w:r>
      <w:r w:rsidRPr="00487445">
        <w:rPr>
          <w:b/>
          <w:lang w:val="en-US"/>
        </w:rPr>
        <w:t xml:space="preserve"> </w:t>
      </w:r>
      <w:r w:rsidRPr="00487445">
        <w:rPr>
          <w:rFonts w:cs="Calibri"/>
          <w:b/>
          <w:lang w:val="en-US"/>
        </w:rPr>
        <w:t>kWh/</w:t>
      </w:r>
      <w:r w:rsidRPr="00487445">
        <w:rPr>
          <w:rFonts w:cs="Calibri"/>
          <w:b/>
        </w:rPr>
        <w:t>έτος</w:t>
      </w:r>
      <w:r w:rsidRPr="00487445">
        <w:rPr>
          <w:rFonts w:cs="Calibri"/>
          <w:b/>
          <w:lang w:val="en-US"/>
        </w:rPr>
        <w:t xml:space="preserve">/1000) </w:t>
      </w:r>
      <w:r w:rsidR="00421128" w:rsidRPr="00487445">
        <w:rPr>
          <w:rFonts w:cs="Calibri"/>
          <w:b/>
          <w:lang w:val="en-US"/>
        </w:rPr>
        <w:t>x</w:t>
      </w:r>
      <w:r w:rsidRPr="00487445">
        <w:rPr>
          <w:rFonts w:cs="Calibri"/>
          <w:b/>
          <w:lang w:val="en-US"/>
        </w:rPr>
        <w:t xml:space="preserve"> 8</w:t>
      </w:r>
      <w:r w:rsidR="00D56A9F" w:rsidRPr="00487445">
        <w:rPr>
          <w:rFonts w:cs="Calibri"/>
          <w:b/>
          <w:lang w:val="en-US"/>
        </w:rPr>
        <w:t>0</w:t>
      </w:r>
      <w:r w:rsidR="00421128" w:rsidRPr="00487445">
        <w:rPr>
          <w:rFonts w:cs="Calibri"/>
          <w:b/>
          <w:lang w:val="en-US"/>
        </w:rPr>
        <w:t>%</w:t>
      </w:r>
      <w:r w:rsidRPr="00487445">
        <w:rPr>
          <w:rFonts w:cs="Calibri"/>
          <w:b/>
          <w:lang w:val="en-US"/>
        </w:rPr>
        <w:t>/1,1</w:t>
      </w:r>
      <w:r w:rsidR="00D56A9F" w:rsidRPr="00487445">
        <w:rPr>
          <w:rFonts w:cs="Calibri"/>
          <w:b/>
          <w:lang w:val="en-US"/>
        </w:rPr>
        <w:t>00</w:t>
      </w:r>
      <w:r w:rsidRPr="00487445">
        <w:rPr>
          <w:rFonts w:cs="Calibri"/>
          <w:b/>
          <w:lang w:val="en-US"/>
        </w:rPr>
        <w:t xml:space="preserve"> </w:t>
      </w:r>
      <w:r w:rsidR="00421128" w:rsidRPr="00487445">
        <w:rPr>
          <w:rFonts w:cs="Calibri"/>
          <w:b/>
          <w:lang w:val="en-US"/>
        </w:rPr>
        <w:t>x</w:t>
      </w:r>
      <w:r w:rsidRPr="00487445">
        <w:rPr>
          <w:rFonts w:cs="Calibri"/>
          <w:b/>
          <w:lang w:val="en-US"/>
        </w:rPr>
        <w:t xml:space="preserve"> 0,264 </w:t>
      </w:r>
      <w:proofErr w:type="gramStart"/>
      <w:r w:rsidRPr="00487445">
        <w:rPr>
          <w:b/>
          <w:lang w:val="en-US"/>
        </w:rPr>
        <w:t>tn</w:t>
      </w:r>
      <w:proofErr w:type="gramEnd"/>
      <w:r w:rsidRPr="00487445">
        <w:rPr>
          <w:b/>
          <w:lang w:val="en-US"/>
        </w:rPr>
        <w:t xml:space="preserve"> CO</w:t>
      </w:r>
      <w:r w:rsidRPr="00487445">
        <w:rPr>
          <w:b/>
          <w:vertAlign w:val="subscript"/>
          <w:lang w:val="en-US"/>
        </w:rPr>
        <w:t>2</w:t>
      </w:r>
      <w:r w:rsidRPr="00487445">
        <w:rPr>
          <w:b/>
          <w:lang w:val="en-US"/>
        </w:rPr>
        <w:t>/MWh + (</w:t>
      </w:r>
      <w:r w:rsidR="00D56A9F" w:rsidRPr="00487445">
        <w:rPr>
          <w:b/>
          <w:lang w:val="en-US"/>
        </w:rPr>
        <w:t>1</w:t>
      </w:r>
      <w:r w:rsidR="00421128" w:rsidRPr="00487445">
        <w:rPr>
          <w:b/>
          <w:lang w:val="en-US"/>
        </w:rPr>
        <w:t>0</w:t>
      </w:r>
      <w:r w:rsidR="00D56A9F" w:rsidRPr="00487445">
        <w:rPr>
          <w:b/>
          <w:lang w:val="en-US"/>
        </w:rPr>
        <w:t>.</w:t>
      </w:r>
      <w:r w:rsidR="00421128" w:rsidRPr="00487445">
        <w:rPr>
          <w:b/>
          <w:lang w:val="en-US"/>
        </w:rPr>
        <w:t>000</w:t>
      </w:r>
      <w:r w:rsidR="00D56A9F" w:rsidRPr="00487445">
        <w:rPr>
          <w:b/>
          <w:lang w:val="en-US"/>
        </w:rPr>
        <w:t>.</w:t>
      </w:r>
      <w:r w:rsidR="00421128" w:rsidRPr="00487445">
        <w:rPr>
          <w:b/>
          <w:lang w:val="en-US"/>
        </w:rPr>
        <w:t>000</w:t>
      </w:r>
      <w:r w:rsidRPr="00487445">
        <w:rPr>
          <w:b/>
          <w:lang w:val="en-US"/>
        </w:rPr>
        <w:t xml:space="preserve"> </w:t>
      </w:r>
      <w:r w:rsidRPr="00487445">
        <w:rPr>
          <w:rFonts w:cs="Calibri"/>
          <w:b/>
          <w:lang w:val="en-US"/>
        </w:rPr>
        <w:t>kWh/</w:t>
      </w:r>
      <w:r w:rsidRPr="00487445">
        <w:rPr>
          <w:rFonts w:cs="Calibri"/>
          <w:b/>
        </w:rPr>
        <w:t>έτος</w:t>
      </w:r>
      <w:r w:rsidRPr="00487445">
        <w:rPr>
          <w:rFonts w:cs="Calibri"/>
          <w:b/>
          <w:lang w:val="en-US"/>
        </w:rPr>
        <w:t xml:space="preserve">/1000) </w:t>
      </w:r>
      <w:r w:rsidR="00421128" w:rsidRPr="00487445">
        <w:rPr>
          <w:rFonts w:cs="Calibri"/>
          <w:b/>
          <w:lang w:val="en-US"/>
        </w:rPr>
        <w:t>x</w:t>
      </w:r>
      <w:r w:rsidRPr="00487445">
        <w:rPr>
          <w:rFonts w:cs="Calibri"/>
          <w:b/>
          <w:lang w:val="en-US"/>
        </w:rPr>
        <w:t xml:space="preserve"> 2</w:t>
      </w:r>
      <w:r w:rsidR="00D56A9F" w:rsidRPr="00487445">
        <w:rPr>
          <w:rFonts w:cs="Calibri"/>
          <w:b/>
          <w:lang w:val="en-US"/>
        </w:rPr>
        <w:t>0</w:t>
      </w:r>
      <w:r w:rsidR="00421128" w:rsidRPr="00487445">
        <w:rPr>
          <w:rFonts w:cs="Calibri"/>
          <w:b/>
          <w:lang w:val="en-US"/>
        </w:rPr>
        <w:t>%</w:t>
      </w:r>
      <w:r w:rsidRPr="00487445">
        <w:rPr>
          <w:rFonts w:cs="Calibri"/>
          <w:b/>
          <w:lang w:val="en-US"/>
        </w:rPr>
        <w:t xml:space="preserve">/2,170 </w:t>
      </w:r>
      <w:r w:rsidR="00421128" w:rsidRPr="00487445">
        <w:rPr>
          <w:rFonts w:cs="Calibri"/>
          <w:b/>
          <w:lang w:val="en-US"/>
        </w:rPr>
        <w:t>x</w:t>
      </w:r>
      <w:r w:rsidRPr="00487445">
        <w:rPr>
          <w:rFonts w:cs="Calibri"/>
          <w:b/>
          <w:lang w:val="en-US"/>
        </w:rPr>
        <w:t xml:space="preserve"> 0,606 </w:t>
      </w:r>
      <w:r w:rsidRPr="00487445">
        <w:rPr>
          <w:b/>
          <w:lang w:val="en-US"/>
        </w:rPr>
        <w:t>tn CO</w:t>
      </w:r>
      <w:r w:rsidRPr="00487445">
        <w:rPr>
          <w:b/>
          <w:vertAlign w:val="subscript"/>
          <w:lang w:val="en-US"/>
        </w:rPr>
        <w:t>2</w:t>
      </w:r>
      <w:r w:rsidRPr="00487445">
        <w:rPr>
          <w:b/>
          <w:lang w:val="en-US"/>
        </w:rPr>
        <w:t xml:space="preserve">/MWh = </w:t>
      </w:r>
      <w:r w:rsidR="00421128" w:rsidRPr="00487445">
        <w:rPr>
          <w:b/>
          <w:lang w:val="en-US"/>
        </w:rPr>
        <w:t>2.479</w:t>
      </w:r>
      <w:r w:rsidRPr="00487445">
        <w:rPr>
          <w:b/>
          <w:lang w:val="en-US"/>
        </w:rPr>
        <w:t xml:space="preserve"> tn CO</w:t>
      </w:r>
      <w:r w:rsidRPr="00487445">
        <w:rPr>
          <w:b/>
          <w:vertAlign w:val="subscript"/>
          <w:lang w:val="en-US"/>
        </w:rPr>
        <w:t>2</w:t>
      </w:r>
    </w:p>
    <w:p w:rsidR="00487445" w:rsidRDefault="00487445" w:rsidP="00545E9B"/>
    <w:p w:rsidR="00487445" w:rsidRDefault="00487445" w:rsidP="00487445">
      <w:r>
        <w:t>Επομένως:</w:t>
      </w:r>
      <w:r w:rsidRPr="00D23E8C">
        <w:t xml:space="preserve"> </w:t>
      </w:r>
    </w:p>
    <w:p w:rsidR="00487445" w:rsidRDefault="00487445" w:rsidP="00487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για </w:t>
      </w:r>
      <w:r w:rsidRPr="00D23E8C">
        <w:t xml:space="preserve">διατιθέμενο Π/Υ = 10.000.000 € </w:t>
      </w:r>
    </w:p>
    <w:p w:rsidR="00487445" w:rsidRDefault="00487445" w:rsidP="00487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η </w:t>
      </w:r>
      <w:r>
        <w:rPr>
          <w:rFonts w:cs="Calibri"/>
        </w:rPr>
        <w:t xml:space="preserve">τιμή του δείκτη </w:t>
      </w:r>
      <w:r>
        <w:rPr>
          <w:lang w:val="en-US"/>
        </w:rPr>
        <w:t>CO</w:t>
      </w:r>
      <w:r w:rsidRPr="0058489C">
        <w:t>3</w:t>
      </w:r>
      <w:r>
        <w:t>4</w:t>
      </w:r>
      <w:r w:rsidRPr="00D23E8C">
        <w:t xml:space="preserve"> </w:t>
      </w:r>
      <w:r>
        <w:t xml:space="preserve">είναι 2.479 </w:t>
      </w:r>
      <w:r w:rsidRPr="00DE3779">
        <w:t xml:space="preserve"> </w:t>
      </w:r>
      <w:proofErr w:type="spellStart"/>
      <w:r w:rsidRPr="00204A98">
        <w:rPr>
          <w:lang w:val="en-US"/>
        </w:rPr>
        <w:t>tn</w:t>
      </w:r>
      <w:proofErr w:type="spellEnd"/>
      <w:r w:rsidRPr="00DE3779">
        <w:t xml:space="preserve"> </w:t>
      </w:r>
      <w:r w:rsidRPr="00DE3779">
        <w:rPr>
          <w:lang w:val="en-US"/>
        </w:rPr>
        <w:t>CO</w:t>
      </w:r>
      <w:r w:rsidRPr="00DE3779">
        <w:rPr>
          <w:vertAlign w:val="subscript"/>
        </w:rPr>
        <w:t>2</w:t>
      </w:r>
      <w:r>
        <w:t>/</w:t>
      </w:r>
      <w:r w:rsidRPr="00DE3779">
        <w:rPr>
          <w:rFonts w:cs="Calibri"/>
        </w:rPr>
        <w:t>έτος</w:t>
      </w:r>
    </w:p>
    <w:p w:rsidR="0051329D" w:rsidRPr="0051329D" w:rsidRDefault="0051329D" w:rsidP="0051329D"/>
    <w:sectPr w:rsidR="0051329D" w:rsidRPr="0051329D" w:rsidSect="005132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991" w:bottom="993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AB3" w:rsidRDefault="00FE3AB3" w:rsidP="00204A98">
      <w:pPr>
        <w:spacing w:line="240" w:lineRule="auto"/>
      </w:pPr>
      <w:r>
        <w:separator/>
      </w:r>
    </w:p>
  </w:endnote>
  <w:endnote w:type="continuationSeparator" w:id="0">
    <w:p w:rsidR="00FE3AB3" w:rsidRDefault="00FE3AB3" w:rsidP="00204A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653731"/>
      <w:docPartObj>
        <w:docPartGallery w:val="Page Numbers (Bottom of Page)"/>
        <w:docPartUnique/>
      </w:docPartObj>
    </w:sdtPr>
    <w:sdtEndPr/>
    <w:sdtContent>
      <w:p w:rsidR="00F25EC3" w:rsidRDefault="00F25EC3">
        <w:pPr>
          <w:pStyle w:val="ad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67CC9">
          <w:rPr>
            <w:noProof/>
          </w:rPr>
          <w:t>1</w:t>
        </w:r>
        <w:r>
          <w:fldChar w:fldCharType="end"/>
        </w:r>
        <w:r>
          <w:t>]</w:t>
        </w:r>
      </w:p>
    </w:sdtContent>
  </w:sdt>
  <w:p w:rsidR="00447D45" w:rsidRDefault="00447D4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AB3" w:rsidRDefault="00FE3AB3" w:rsidP="00204A98">
      <w:pPr>
        <w:spacing w:line="240" w:lineRule="auto"/>
      </w:pPr>
      <w:r>
        <w:separator/>
      </w:r>
    </w:p>
  </w:footnote>
  <w:footnote w:type="continuationSeparator" w:id="0">
    <w:p w:rsidR="00FE3AB3" w:rsidRDefault="00FE3AB3" w:rsidP="00204A98">
      <w:pPr>
        <w:spacing w:line="240" w:lineRule="auto"/>
      </w:pPr>
      <w:r>
        <w:continuationSeparator/>
      </w:r>
    </w:p>
  </w:footnote>
  <w:footnote w:id="1">
    <w:p w:rsidR="00204A98" w:rsidRPr="00F25EC3" w:rsidRDefault="00204A98" w:rsidP="00204A98">
      <w:pPr>
        <w:pStyle w:val="a7"/>
      </w:pPr>
      <w:r>
        <w:rPr>
          <w:rStyle w:val="a8"/>
        </w:rPr>
        <w:footnoteRef/>
      </w:r>
      <w:r>
        <w:t xml:space="preserve"> Υ.Α. </w:t>
      </w:r>
      <w:r w:rsidRPr="00995515">
        <w:rPr>
          <w:rFonts w:ascii="MyriadPro-Regular" w:hAnsi="MyriadPro-Regular" w:cs="MyriadPro-Regular"/>
        </w:rPr>
        <w:t>ΔΕΠΕΑ/οικ.178581</w:t>
      </w:r>
      <w:r w:rsidR="00FC6B5D">
        <w:rPr>
          <w:rFonts w:ascii="MyriadPro-Regular" w:hAnsi="MyriadPro-Regular" w:cs="MyriadPro-Regular"/>
        </w:rPr>
        <w:t>/30</w:t>
      </w:r>
      <w:r w:rsidR="00F25EC3" w:rsidRPr="00F25EC3">
        <w:rPr>
          <w:rFonts w:cs="MyriadPro-Regular"/>
        </w:rPr>
        <w:t>–</w:t>
      </w:r>
      <w:r w:rsidR="00FC6B5D">
        <w:rPr>
          <w:rFonts w:ascii="MyriadPro-Regular" w:hAnsi="MyriadPro-Regular" w:cs="MyriadPro-Regular"/>
        </w:rPr>
        <w:t>06</w:t>
      </w:r>
      <w:r w:rsidR="00F25EC3" w:rsidRPr="00F25EC3">
        <w:rPr>
          <w:rFonts w:cs="MyriadPro-Regular"/>
        </w:rPr>
        <w:t>–</w:t>
      </w:r>
      <w:r w:rsidR="00FC6B5D">
        <w:rPr>
          <w:rFonts w:ascii="MyriadPro-Regular" w:hAnsi="MyriadPro-Regular" w:cs="MyriadPro-Regular"/>
        </w:rPr>
        <w:t>17</w:t>
      </w:r>
      <w:r>
        <w:rPr>
          <w:rFonts w:ascii="MyriadPro-Regular" w:hAnsi="MyriadPro-Regular" w:cs="MyriadPro-Regular"/>
        </w:rPr>
        <w:t xml:space="preserve">, </w:t>
      </w:r>
      <w:r w:rsidRPr="00995515">
        <w:rPr>
          <w:rFonts w:ascii="MyriadPro-Regular" w:hAnsi="MyriadPro-Regular" w:cs="MyriadPro-Regular"/>
        </w:rPr>
        <w:t>Έγκριση Κανονισμού Ενεργειακής Απόδοσης Κτιρίων</w:t>
      </w:r>
      <w:r>
        <w:rPr>
          <w:rFonts w:ascii="MyriadPro-Regular" w:hAnsi="MyriadPro-Regular" w:cs="MyriadPro-Regular"/>
        </w:rPr>
        <w:t xml:space="preserve"> (ΦΕΚ </w:t>
      </w:r>
      <w:r w:rsidR="00FC6B5D">
        <w:rPr>
          <w:rFonts w:ascii="MyriadPro-Regular" w:hAnsi="MyriadPro-Regular" w:cs="MyriadPro-Regular"/>
        </w:rPr>
        <w:t>2367/</w:t>
      </w:r>
      <w:r>
        <w:rPr>
          <w:rFonts w:ascii="MyriadPro-Regular" w:hAnsi="MyriadPro-Regular" w:cs="MyriadPro-Regular"/>
        </w:rPr>
        <w:t>Β’</w:t>
      </w:r>
      <w:r w:rsidR="00FC6B5D">
        <w:rPr>
          <w:rFonts w:ascii="MyriadPro-Regular" w:hAnsi="MyriadPro-Regular" w:cs="MyriadPro-Regular"/>
        </w:rPr>
        <w:t>/</w:t>
      </w:r>
      <w:r>
        <w:rPr>
          <w:rFonts w:ascii="MyriadPro-Regular" w:hAnsi="MyriadPro-Regular" w:cs="MyriadPro-Regular"/>
        </w:rPr>
        <w:t xml:space="preserve"> 12</w:t>
      </w:r>
      <w:r w:rsidR="00F25EC3" w:rsidRPr="00F25EC3">
        <w:rPr>
          <w:rFonts w:cs="MyriadPro-Regular"/>
        </w:rPr>
        <w:t>–</w:t>
      </w:r>
      <w:r>
        <w:rPr>
          <w:rFonts w:ascii="MyriadPro-Regular" w:hAnsi="MyriadPro-Regular" w:cs="MyriadPro-Regular"/>
        </w:rPr>
        <w:t>07</w:t>
      </w:r>
      <w:r w:rsidR="00F25EC3" w:rsidRPr="00F25EC3">
        <w:rPr>
          <w:rFonts w:cs="MyriadPro-Regular"/>
        </w:rPr>
        <w:t>–</w:t>
      </w:r>
      <w:r>
        <w:rPr>
          <w:rFonts w:ascii="MyriadPro-Regular" w:hAnsi="MyriadPro-Regular" w:cs="MyriadPro-Regular"/>
        </w:rPr>
        <w:t>17).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3EC2"/>
    <w:multiLevelType w:val="hybridMultilevel"/>
    <w:tmpl w:val="C2D867EA"/>
    <w:lvl w:ilvl="0" w:tplc="0C8A46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34DA0"/>
    <w:multiLevelType w:val="hybridMultilevel"/>
    <w:tmpl w:val="1D5249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4823"/>
    <w:multiLevelType w:val="hybridMultilevel"/>
    <w:tmpl w:val="3CDAFFE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E7AC6"/>
    <w:multiLevelType w:val="hybridMultilevel"/>
    <w:tmpl w:val="C082C0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A1014"/>
    <w:multiLevelType w:val="hybridMultilevel"/>
    <w:tmpl w:val="1354B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B391D"/>
    <w:multiLevelType w:val="hybridMultilevel"/>
    <w:tmpl w:val="5D3AE484"/>
    <w:lvl w:ilvl="0" w:tplc="1BF04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0Nbc0Mzc0NDI1srRU0lEKTi0uzszPAykwrAUAC+bjRiwAAAA="/>
  </w:docVars>
  <w:rsids>
    <w:rsidRoot w:val="00061E17"/>
    <w:rsid w:val="000311CB"/>
    <w:rsid w:val="00040408"/>
    <w:rsid w:val="00052FF5"/>
    <w:rsid w:val="00061E17"/>
    <w:rsid w:val="00063F52"/>
    <w:rsid w:val="000C1EDD"/>
    <w:rsid w:val="00106FD3"/>
    <w:rsid w:val="00143D5F"/>
    <w:rsid w:val="00192698"/>
    <w:rsid w:val="00204A98"/>
    <w:rsid w:val="0021441A"/>
    <w:rsid w:val="00216239"/>
    <w:rsid w:val="002173F4"/>
    <w:rsid w:val="002326AF"/>
    <w:rsid w:val="00286C7A"/>
    <w:rsid w:val="002C6EDF"/>
    <w:rsid w:val="002D043C"/>
    <w:rsid w:val="002E5E01"/>
    <w:rsid w:val="002F7F6B"/>
    <w:rsid w:val="00335518"/>
    <w:rsid w:val="00350318"/>
    <w:rsid w:val="0036184C"/>
    <w:rsid w:val="003700D8"/>
    <w:rsid w:val="0037489C"/>
    <w:rsid w:val="00383685"/>
    <w:rsid w:val="003A2714"/>
    <w:rsid w:val="003F6A2B"/>
    <w:rsid w:val="00421128"/>
    <w:rsid w:val="00447D45"/>
    <w:rsid w:val="00467550"/>
    <w:rsid w:val="00487445"/>
    <w:rsid w:val="004A1DB9"/>
    <w:rsid w:val="004D0838"/>
    <w:rsid w:val="0051329D"/>
    <w:rsid w:val="00545E9B"/>
    <w:rsid w:val="00560A9D"/>
    <w:rsid w:val="005662BA"/>
    <w:rsid w:val="005670CF"/>
    <w:rsid w:val="00583F5F"/>
    <w:rsid w:val="0058489C"/>
    <w:rsid w:val="005F1966"/>
    <w:rsid w:val="00604330"/>
    <w:rsid w:val="0064011F"/>
    <w:rsid w:val="006C27BC"/>
    <w:rsid w:val="00740EB6"/>
    <w:rsid w:val="00763916"/>
    <w:rsid w:val="007830CD"/>
    <w:rsid w:val="007A0974"/>
    <w:rsid w:val="0082570C"/>
    <w:rsid w:val="00831514"/>
    <w:rsid w:val="00885997"/>
    <w:rsid w:val="00892B47"/>
    <w:rsid w:val="008C67CE"/>
    <w:rsid w:val="008E513C"/>
    <w:rsid w:val="00910769"/>
    <w:rsid w:val="00926FBB"/>
    <w:rsid w:val="00951606"/>
    <w:rsid w:val="00967981"/>
    <w:rsid w:val="009A337C"/>
    <w:rsid w:val="009A49D9"/>
    <w:rsid w:val="009B120B"/>
    <w:rsid w:val="009B4C18"/>
    <w:rsid w:val="009B4F5A"/>
    <w:rsid w:val="00A21445"/>
    <w:rsid w:val="00A257D4"/>
    <w:rsid w:val="00A4388D"/>
    <w:rsid w:val="00A60576"/>
    <w:rsid w:val="00A77A77"/>
    <w:rsid w:val="00A80AAB"/>
    <w:rsid w:val="00A87251"/>
    <w:rsid w:val="00A91734"/>
    <w:rsid w:val="00AB7D11"/>
    <w:rsid w:val="00AD2978"/>
    <w:rsid w:val="00B235FB"/>
    <w:rsid w:val="00B4169B"/>
    <w:rsid w:val="00BE3CCE"/>
    <w:rsid w:val="00C01700"/>
    <w:rsid w:val="00C164EB"/>
    <w:rsid w:val="00C341ED"/>
    <w:rsid w:val="00C541AA"/>
    <w:rsid w:val="00C67CC9"/>
    <w:rsid w:val="00C93566"/>
    <w:rsid w:val="00CA2F34"/>
    <w:rsid w:val="00CB0322"/>
    <w:rsid w:val="00CB593E"/>
    <w:rsid w:val="00D04E80"/>
    <w:rsid w:val="00D56A9F"/>
    <w:rsid w:val="00D660D9"/>
    <w:rsid w:val="00DA201E"/>
    <w:rsid w:val="00DB23A8"/>
    <w:rsid w:val="00DC69B5"/>
    <w:rsid w:val="00DE2B3E"/>
    <w:rsid w:val="00DE3779"/>
    <w:rsid w:val="00DF178F"/>
    <w:rsid w:val="00E2611F"/>
    <w:rsid w:val="00E432FD"/>
    <w:rsid w:val="00E577C0"/>
    <w:rsid w:val="00E8480F"/>
    <w:rsid w:val="00E95C8C"/>
    <w:rsid w:val="00EB5692"/>
    <w:rsid w:val="00EB6E74"/>
    <w:rsid w:val="00EC2125"/>
    <w:rsid w:val="00EF3871"/>
    <w:rsid w:val="00F25EC3"/>
    <w:rsid w:val="00F26718"/>
    <w:rsid w:val="00F46B05"/>
    <w:rsid w:val="00F504CA"/>
    <w:rsid w:val="00F71F27"/>
    <w:rsid w:val="00F72ACA"/>
    <w:rsid w:val="00F83AA2"/>
    <w:rsid w:val="00F85971"/>
    <w:rsid w:val="00FC3FF3"/>
    <w:rsid w:val="00FC6B5D"/>
    <w:rsid w:val="00FE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204A98"/>
    <w:pPr>
      <w:spacing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204A9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204A9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F83AA2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F83AA2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F83AA2"/>
    <w:rPr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F83AA2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F83AA2"/>
    <w:rPr>
      <w:b/>
      <w:bCs/>
      <w:sz w:val="20"/>
      <w:szCs w:val="20"/>
    </w:rPr>
  </w:style>
  <w:style w:type="paragraph" w:styleId="ac">
    <w:name w:val="header"/>
    <w:basedOn w:val="a"/>
    <w:link w:val="Char3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Κεφαλίδα Char"/>
    <w:basedOn w:val="a0"/>
    <w:link w:val="ac"/>
    <w:uiPriority w:val="99"/>
    <w:rsid w:val="00447D45"/>
  </w:style>
  <w:style w:type="paragraph" w:styleId="ad">
    <w:name w:val="footer"/>
    <w:basedOn w:val="a"/>
    <w:link w:val="Char4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4">
    <w:name w:val="Υποσέλιδο Char"/>
    <w:basedOn w:val="a0"/>
    <w:link w:val="ad"/>
    <w:uiPriority w:val="99"/>
    <w:rsid w:val="00447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204A98"/>
    <w:pPr>
      <w:spacing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204A9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204A9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F83AA2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F83AA2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F83AA2"/>
    <w:rPr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F83AA2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F83AA2"/>
    <w:rPr>
      <w:b/>
      <w:bCs/>
      <w:sz w:val="20"/>
      <w:szCs w:val="20"/>
    </w:rPr>
  </w:style>
  <w:style w:type="paragraph" w:styleId="ac">
    <w:name w:val="header"/>
    <w:basedOn w:val="a"/>
    <w:link w:val="Char3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Κεφαλίδα Char"/>
    <w:basedOn w:val="a0"/>
    <w:link w:val="ac"/>
    <w:uiPriority w:val="99"/>
    <w:rsid w:val="00447D45"/>
  </w:style>
  <w:style w:type="paragraph" w:styleId="ad">
    <w:name w:val="footer"/>
    <w:basedOn w:val="a"/>
    <w:link w:val="Char4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4">
    <w:name w:val="Υποσέλιδο Char"/>
    <w:basedOn w:val="a0"/>
    <w:link w:val="ad"/>
    <w:uiPriority w:val="99"/>
    <w:rsid w:val="00447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89C1F-5AD7-4334-BFF9-8A9BC9E7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2018-06-01T10:27:00Z</dcterms:created>
  <dcterms:modified xsi:type="dcterms:W3CDTF">2018-06-28T13:05:00Z</dcterms:modified>
</cp:coreProperties>
</file>