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lastRenderedPageBreak/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EC6928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lastRenderedPageBreak/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EC6928" w:rsidRPr="00667422" w:rsidRDefault="00EC6928" w:rsidP="00EC6928">
      <w:pPr>
        <w:pStyle w:val="10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Pr="00667422">
        <w:rPr>
          <w:sz w:val="16"/>
          <w:u w:val="single"/>
        </w:rPr>
        <w:t>:</w:t>
      </w:r>
    </w:p>
    <w:p w:rsidR="00EC6928" w:rsidRPr="004E6562" w:rsidRDefault="00EC6928" w:rsidP="00EC6928">
      <w:pPr>
        <w:pStyle w:val="10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>τμημα η: χρηματοδοτικο σχεδιο υποεργου εκτελεσησ με ιδια μεσα</w:t>
      </w:r>
    </w:p>
    <w:tbl>
      <w:tblPr>
        <w:tblStyle w:val="a3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EC6928" w:rsidRPr="004E6562" w:rsidTr="00500D14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ΚΑΤΑΝΟΜΗ ΔΗΜΟΣΙΑΣ ΔΑΠΑΝΗΣ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ΑΝΑ ΚΑΤΗΓΟΡΙΑ ΔΑΠΑΝΗΣ </w:t>
            </w: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pStyle w:val="a7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EC6928" w:rsidRPr="004E6562" w:rsidTr="00500D14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C6928" w:rsidRPr="004E6562" w:rsidRDefault="00EC6928" w:rsidP="00500D14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Α. 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ΔΑΠΑΝΕΣ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EC6928" w:rsidRPr="004E6562" w:rsidRDefault="00EC6928" w:rsidP="00500D14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pStyle w:val="a7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EC6928" w:rsidRPr="004E6562" w:rsidTr="00500D14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Α.1.  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.2.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.3.  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.4.  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Α.5.  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Α.6.  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Α.7.  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Α.8. +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(ελεύθερος πεδίο)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Σύνολο Σ1: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(υποσύνολο άμεσων δαπανών εξαιρουμένων των δαπανών (Α4, Α</w:t>
            </w:r>
            <w:r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, Α6)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pStyle w:val="a7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EC6928" w:rsidRPr="004E6562" w:rsidTr="00500D14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5A27B3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C6928" w:rsidRPr="004E6562" w:rsidRDefault="00EC6928" w:rsidP="00500D14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C6928" w:rsidRPr="004E6562" w:rsidRDefault="00EC6928" w:rsidP="00500D14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Β4.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EC6928" w:rsidRPr="004E6562" w:rsidRDefault="00EC6928" w:rsidP="00500D14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C6928" w:rsidRPr="004E6562" w:rsidTr="00500D14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pStyle w:val="a7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D95280" w:rsidRDefault="00EC6928" w:rsidP="00500D14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928" w:rsidRPr="004E6562" w:rsidRDefault="00EC6928" w:rsidP="00500D14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EC6928" w:rsidRPr="004E6562" w:rsidRDefault="00EC6928" w:rsidP="00EC6928">
      <w:pPr>
        <w:spacing w:before="0" w:beforeAutospacing="0" w:after="120"/>
        <w:jc w:val="left"/>
        <w:rPr>
          <w:rFonts w:ascii="Tahoma" w:hAnsi="Tahoma" w:cs="Tahoma"/>
        </w:rPr>
      </w:pPr>
    </w:p>
    <w:p w:rsidR="00EC6928" w:rsidRDefault="00EC6928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EC6928" w:rsidRDefault="00EC6928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257B83" w:rsidRDefault="00257B83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bookmarkStart w:id="1" w:name="_GoBack"/>
      <w:bookmarkEnd w:id="1"/>
    </w:p>
    <w:p w:rsidR="00EC6928" w:rsidRDefault="00EC6928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C13ADD">
              <w:rPr>
                <w:rFonts w:ascii="Tahoma" w:hAnsi="Tahoma" w:cs="Tahoma"/>
              </w:rPr>
            </w:r>
            <w:r w:rsidR="00C13ADD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ADD" w:rsidRDefault="00C13ADD" w:rsidP="0031760F">
      <w:pPr>
        <w:spacing w:before="0"/>
      </w:pPr>
      <w:r>
        <w:separator/>
      </w:r>
    </w:p>
  </w:endnote>
  <w:endnote w:type="continuationSeparator" w:id="0">
    <w:p w:rsidR="00C13ADD" w:rsidRDefault="00C13ADD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257B83">
            <w:rPr>
              <w:rFonts w:ascii="Tahoma" w:hAnsi="Tahoma" w:cs="Tahoma"/>
              <w:noProof/>
            </w:rPr>
            <w:t>16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ADD" w:rsidRDefault="00C13ADD" w:rsidP="0031760F">
      <w:pPr>
        <w:spacing w:before="0"/>
      </w:pPr>
      <w:r>
        <w:separator/>
      </w:r>
    </w:p>
  </w:footnote>
  <w:footnote w:type="continuationSeparator" w:id="0">
    <w:p w:rsidR="00C13ADD" w:rsidRDefault="00C13ADD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57B83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3ADD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6928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EC7FA-702C-4642-A615-D8F565A7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16</Pages>
  <Words>2963</Words>
  <Characters>16002</Characters>
  <Application>Microsoft Office Word</Application>
  <DocSecurity>0</DocSecurity>
  <Lines>133</Lines>
  <Paragraphs>37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ΤΖΙΑΛΛΑΣ ΚΩΝΣΤΑΝΤΙΝΟΣ</cp:lastModifiedBy>
  <cp:revision>12</cp:revision>
  <cp:lastPrinted>2018-04-04T09:13:00Z</cp:lastPrinted>
  <dcterms:created xsi:type="dcterms:W3CDTF">2018-04-16T14:34:00Z</dcterms:created>
  <dcterms:modified xsi:type="dcterms:W3CDTF">2020-08-24T09:53:00Z</dcterms:modified>
</cp:coreProperties>
</file>